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2282"/>
        <w:gridCol w:w="2483"/>
        <w:gridCol w:w="2155"/>
        <w:gridCol w:w="1824"/>
        <w:gridCol w:w="1987"/>
      </w:tblGrid>
      <w:tr w:rsidR="007F276E" w:rsidRPr="006D0C2F" w14:paraId="34AD5C73" w14:textId="77777777" w:rsidTr="007F276E">
        <w:trPr>
          <w:trHeight w:val="1060"/>
        </w:trPr>
        <w:tc>
          <w:tcPr>
            <w:tcW w:w="1063" w:type="pct"/>
            <w:shd w:val="clear" w:color="auto" w:fill="auto"/>
          </w:tcPr>
          <w:p w14:paraId="66F1CA48" w14:textId="6CDC96F5" w:rsidR="007F276E" w:rsidRPr="006D0C2F" w:rsidRDefault="007F276E" w:rsidP="007F276E">
            <w:pPr>
              <w:pStyle w:val="aa"/>
              <w:jc w:val="center"/>
              <w:rPr>
                <w:b/>
              </w:rPr>
            </w:pPr>
          </w:p>
        </w:tc>
        <w:tc>
          <w:tcPr>
            <w:tcW w:w="1157" w:type="pct"/>
            <w:shd w:val="clear" w:color="auto" w:fill="auto"/>
          </w:tcPr>
          <w:p w14:paraId="64EA1FB2" w14:textId="4FA44AF6" w:rsidR="007F276E" w:rsidRPr="006D0C2F" w:rsidRDefault="007F276E" w:rsidP="007F276E">
            <w:pPr>
              <w:pStyle w:val="aa"/>
              <w:jc w:val="center"/>
            </w:pPr>
          </w:p>
        </w:tc>
        <w:tc>
          <w:tcPr>
            <w:tcW w:w="1004" w:type="pct"/>
          </w:tcPr>
          <w:p w14:paraId="04CECCF4" w14:textId="64C75F6A" w:rsidR="007F276E" w:rsidRPr="006D0C2F" w:rsidRDefault="007F276E" w:rsidP="007F276E">
            <w:pPr>
              <w:pStyle w:val="aa"/>
              <w:spacing w:before="60"/>
              <w:jc w:val="center"/>
            </w:pPr>
          </w:p>
        </w:tc>
        <w:tc>
          <w:tcPr>
            <w:tcW w:w="850" w:type="pct"/>
          </w:tcPr>
          <w:p w14:paraId="0C996597" w14:textId="67453321" w:rsidR="007F276E" w:rsidRPr="006D0C2F" w:rsidRDefault="007F276E" w:rsidP="007F276E">
            <w:pPr>
              <w:pStyle w:val="aa"/>
              <w:jc w:val="center"/>
            </w:pPr>
          </w:p>
        </w:tc>
        <w:tc>
          <w:tcPr>
            <w:tcW w:w="926" w:type="pct"/>
          </w:tcPr>
          <w:p w14:paraId="73DB0720" w14:textId="78441777" w:rsidR="007F276E" w:rsidRPr="006D0C2F" w:rsidRDefault="007F276E" w:rsidP="007F276E">
            <w:pPr>
              <w:pStyle w:val="aa"/>
              <w:spacing w:before="120"/>
              <w:jc w:val="center"/>
            </w:pP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673F6E32" w:rsidR="002D04EC" w:rsidRDefault="009D109C"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ΠΡΟΣΚΛΗΣΗ</w:t>
      </w:r>
    </w:p>
    <w:p w14:paraId="0773672F" w14:textId="2A902263" w:rsidR="004A0BC7" w:rsidRPr="00C77721" w:rsidRDefault="004A0BC7"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ΥΠ΄ΑΡΙΘΜ. 58/23-04-2019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ΤΑΠΤοΚ»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(ΤΑΠΤοΚ)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(ΤΑΠΤοΚ),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r w:rsidRPr="00C77721">
              <w:rPr>
                <w:rFonts w:ascii="Verdana" w:eastAsia="Arial" w:hAnsi="Verdana" w:cstheme="minorHAnsi"/>
                <w:sz w:val="20"/>
                <w:szCs w:val="20"/>
              </w:rPr>
              <w:t>ΤΑΠΤοΚ</w:t>
            </w:r>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t xml:space="preserve">Στο συγκεκριμένο λαμβάνουν χώρα η διαχείριση, ο έλεγχος  και η υλοποίηση του υπομέτρου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lastRenderedPageBreak/>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πολυτομεακό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πολυταμειακής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r w:rsidRPr="00C77721">
              <w:rPr>
                <w:rFonts w:ascii="Verdana" w:hAnsi="Verdana" w:cstheme="minorHAnsi"/>
                <w:b/>
                <w:sz w:val="20"/>
                <w:szCs w:val="20"/>
              </w:rPr>
              <w:t xml:space="preserve">ΤΑΠΤοΚ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(ΤΑΠΤοΚ), CLLD-LEADER» 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καθ΄όλη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lastRenderedPageBreak/>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r w:rsidR="001A5B40" w:rsidRPr="00C77721">
        <w:rPr>
          <w:rFonts w:ascii="Verdana" w:hAnsi="Verdana" w:cstheme="minorHAnsi"/>
          <w:sz w:val="20"/>
          <w:szCs w:val="20"/>
        </w:rPr>
        <w:t>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πρωτ.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(ΤΑΠΤοΚ)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Υποδράσεις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υπ΄αριθμ.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απαντητικό με αριθμ.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63181FD6"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F06915">
        <w:rPr>
          <w:rFonts w:ascii="Verdana" w:hAnsi="Verdana" w:cstheme="minorHAnsi"/>
          <w:sz w:val="20"/>
          <w:szCs w:val="20"/>
        </w:rPr>
        <w:t xml:space="preserve">αριθ. </w:t>
      </w:r>
      <w:r w:rsidR="0017028C" w:rsidRPr="00F06915">
        <w:rPr>
          <w:rFonts w:ascii="Verdana" w:hAnsi="Verdana" w:cstheme="minorHAnsi"/>
          <w:sz w:val="20"/>
          <w:szCs w:val="20"/>
        </w:rPr>
        <w:t>44854/ΕΥΚΕ653/19-4-</w:t>
      </w:r>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w:t>
      </w:r>
      <w:r w:rsidRPr="00714A8E">
        <w:rPr>
          <w:rFonts w:ascii="Verdana" w:hAnsi="Verdana" w:cstheme="minorHAnsi"/>
          <w:sz w:val="20"/>
          <w:szCs w:val="20"/>
        </w:rPr>
        <w:lastRenderedPageBreak/>
        <w:t>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 υπ. αρ.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Την με αρ.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με αρ.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Την με αρ.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rFonts w:ascii="Verdana" w:hAnsi="Verdana" w:cstheme="minorHAnsi"/>
          <w:b/>
          <w:spacing w:val="120"/>
          <w:position w:val="12"/>
          <w:sz w:val="20"/>
          <w:szCs w:val="20"/>
        </w:rPr>
      </w:pPr>
    </w:p>
    <w:p w14:paraId="1DA242BA" w14:textId="77777777" w:rsidR="0017028C" w:rsidRDefault="0017028C" w:rsidP="005B096D">
      <w:pPr>
        <w:jc w:val="center"/>
        <w:rPr>
          <w:rFonts w:ascii="Verdana" w:hAnsi="Verdana" w:cstheme="minorHAnsi"/>
          <w:b/>
          <w:spacing w:val="120"/>
          <w:position w:val="12"/>
          <w:sz w:val="20"/>
          <w:szCs w:val="20"/>
        </w:rPr>
      </w:pPr>
    </w:p>
    <w:p w14:paraId="74E69C07" w14:textId="77777777" w:rsidR="0017028C" w:rsidRDefault="0017028C" w:rsidP="005B096D">
      <w:pPr>
        <w:jc w:val="center"/>
        <w:rPr>
          <w:rFonts w:ascii="Verdana" w:hAnsi="Verdana" w:cstheme="minorHAnsi"/>
          <w:b/>
          <w:spacing w:val="120"/>
          <w:position w:val="12"/>
          <w:sz w:val="20"/>
          <w:szCs w:val="20"/>
        </w:rPr>
      </w:pPr>
    </w:p>
    <w:p w14:paraId="4DFCBD2A" w14:textId="77777777" w:rsidR="0017028C" w:rsidRDefault="0017028C" w:rsidP="005B096D">
      <w:pPr>
        <w:jc w:val="center"/>
        <w:rPr>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527C06C9"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πρωτ. 2635/13-09-2017 ΚΥΑ (ΦΕΚ 3313/20-09-2017) περί πλαισίου λειτουργίας και αριθ. πρωτ.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r w:rsidR="0017028C">
        <w:rPr>
          <w:rFonts w:ascii="Verdana" w:hAnsi="Verdana" w:cstheme="minorHAnsi"/>
          <w:sz w:val="20"/>
          <w:szCs w:val="20"/>
        </w:rPr>
        <w:t>ήθηκε</w:t>
      </w:r>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υπο-δράσεων του υπο-μέτρου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lastRenderedPageBreak/>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 xml:space="preserve">σόμενες υποδράσεις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r w:rsidR="00E95D93">
        <w:rPr>
          <w:rFonts w:ascii="Verdana" w:hAnsi="Verdana" w:cstheme="minorHAnsi"/>
          <w:b/>
          <w:sz w:val="20"/>
          <w:szCs w:val="20"/>
        </w:rPr>
        <w:t>Υπο</w:t>
      </w:r>
      <w:r w:rsidR="00F14219" w:rsidRPr="00C77721">
        <w:rPr>
          <w:rFonts w:ascii="Verdana" w:hAnsi="Verdana" w:cstheme="minorHAnsi"/>
          <w:b/>
          <w:sz w:val="20"/>
          <w:szCs w:val="20"/>
        </w:rPr>
        <w:t xml:space="preserve">δράσεις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r w:rsidR="00C2083A" w:rsidRPr="00C77721">
        <w:rPr>
          <w:rFonts w:ascii="Verdana" w:hAnsi="Verdana" w:cstheme="minorHAnsi"/>
          <w:sz w:val="20"/>
          <w:szCs w:val="20"/>
        </w:rPr>
        <w:t xml:space="preserve">προκηρυσσόμενων </w:t>
      </w:r>
      <w:r w:rsidR="00656480">
        <w:rPr>
          <w:rFonts w:ascii="Verdana" w:hAnsi="Verdana" w:cstheme="minorHAnsi"/>
          <w:sz w:val="20"/>
          <w:szCs w:val="20"/>
        </w:rPr>
        <w:t>/</w:t>
      </w:r>
      <w:r w:rsidR="00B2195E" w:rsidRPr="00C77721">
        <w:rPr>
          <w:rFonts w:ascii="Verdana" w:hAnsi="Verdana" w:cstheme="minorHAnsi"/>
          <w:sz w:val="20"/>
          <w:szCs w:val="20"/>
        </w:rPr>
        <w:t xml:space="preserve"> υποδράσεων </w:t>
      </w:r>
      <w:r w:rsidR="00656480">
        <w:rPr>
          <w:rFonts w:ascii="Verdana" w:hAnsi="Verdana" w:cstheme="minorHAnsi"/>
          <w:sz w:val="20"/>
          <w:szCs w:val="20"/>
        </w:rPr>
        <w:t>/ σης</w:t>
      </w:r>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Ενίσχυση επενδύσεων οικοτεχνίας και </w:t>
            </w:r>
            <w:r w:rsidRPr="00C77721">
              <w:rPr>
                <w:rFonts w:ascii="Verdana" w:hAnsi="Verdana" w:cstheme="minorHAnsi"/>
                <w:color w:val="000000"/>
                <w:sz w:val="20"/>
                <w:szCs w:val="20"/>
              </w:rPr>
              <w:lastRenderedPageBreak/>
              <w:t>πολυλειτουργικών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lastRenderedPageBreak/>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656480">
      <w:pPr>
        <w:jc w:val="both"/>
        <w:rPr>
          <w:b/>
        </w:rPr>
      </w:pPr>
      <w:r w:rsidRPr="00367747">
        <w:rPr>
          <w:b/>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787FD6">
      <w:pPr>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787FD6">
      <w:pPr>
        <w:rPr>
          <w:b/>
        </w:rPr>
      </w:pPr>
    </w:p>
    <w:p w14:paraId="25DD1C43" w14:textId="08264E97" w:rsidR="00787FD6" w:rsidRDefault="00787FD6" w:rsidP="00787FD6">
      <w:r w:rsidRPr="00787FD6">
        <w:rPr>
          <w:b/>
          <w:lang w:val="en-US"/>
        </w:rPr>
        <w:t>O</w:t>
      </w:r>
      <w:r w:rsidRPr="00787FD6">
        <w:rPr>
          <w:b/>
        </w:rPr>
        <w:t xml:space="preserve">ι ΚΑΔ δραστηριοτήτων, οι οποίες αποκλείονται προς ένταξη σε όλες τις υποδράσεις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αποκλειόμενοι ΚΑΔ).</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lastRenderedPageBreak/>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υποδράσεις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Ελληνοχωρίου</w:t>
            </w:r>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Θυρέα</w:t>
            </w:r>
            <w:r>
              <w:rPr>
                <w:rFonts w:ascii="Verdana" w:hAnsi="Verdana" w:cs="Tahoma"/>
                <w:color w:val="000000"/>
                <w:sz w:val="20"/>
                <w:szCs w:val="20"/>
              </w:rPr>
              <w:t>ς</w:t>
            </w:r>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Ισαακίου</w:t>
            </w:r>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Καρωτής</w:t>
            </w:r>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Κουφοβούνου</w:t>
            </w:r>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Σιταριά</w:t>
            </w:r>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Πραγγίου</w:t>
            </w:r>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Ρήγιον</w:t>
            </w:r>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Σιτοχωρίου</w:t>
            </w:r>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Σοφικ</w:t>
            </w:r>
            <w:r w:rsidR="00E27CC1">
              <w:rPr>
                <w:rFonts w:ascii="Verdana" w:hAnsi="Verdana" w:cs="Tahoma"/>
                <w:color w:val="000000"/>
                <w:sz w:val="20"/>
                <w:szCs w:val="20"/>
              </w:rPr>
              <w:t>ού</w:t>
            </w:r>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Αλεποχωρίου</w:t>
            </w:r>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Πολιά</w:t>
            </w:r>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Ασπρονερίου</w:t>
            </w:r>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Γιατράδες</w:t>
            </w:r>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Βρυσικών</w:t>
            </w:r>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Ελαφοχωρίου</w:t>
            </w:r>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Χιονάδες</w:t>
            </w:r>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Λάδης</w:t>
            </w:r>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Παλιουρίου</w:t>
            </w:r>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Δημοτική Κοινότητα Ορεστιάδος</w:t>
            </w:r>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w:t>
            </w:r>
            <w:r w:rsidR="005A1E85">
              <w:rPr>
                <w:rFonts w:ascii="Verdana" w:hAnsi="Verdana" w:cs="Tahoma"/>
                <w:b/>
                <w:color w:val="000000"/>
                <w:sz w:val="20"/>
                <w:szCs w:val="20"/>
              </w:rPr>
              <w:lastRenderedPageBreak/>
              <w:t>Σαγήνη, Σάκκος)</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Μεγάλης Δοξιπάρας</w:t>
            </w:r>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Νέου Χειμωνίου</w:t>
            </w:r>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Νεοχωρίου</w:t>
            </w:r>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Παταγής</w:t>
            </w:r>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Χανδρά</w:t>
            </w:r>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Δημοτική Κοινότητα Νέας Βύσσα</w:t>
            </w:r>
            <w:r w:rsidR="001D6C6B" w:rsidRPr="00C77721">
              <w:rPr>
                <w:rFonts w:ascii="Verdana" w:hAnsi="Verdana" w:cs="Tahoma"/>
                <w:color w:val="000000"/>
                <w:sz w:val="20"/>
                <w:szCs w:val="20"/>
              </w:rPr>
              <w:t>ς</w:t>
            </w:r>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Καβύλης</w:t>
            </w:r>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Καστανεών</w:t>
            </w:r>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Ριζίων</w:t>
            </w:r>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Μικρής Δοξιπάρας</w:t>
            </w:r>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Χελιδώνας</w:t>
            </w:r>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Αμμοβούνου</w:t>
            </w:r>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Οικισμός Διλόφου</w:t>
            </w:r>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Άρζου</w:t>
            </w:r>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Θεραπει</w:t>
            </w:r>
            <w:r w:rsidR="003D1F60">
              <w:rPr>
                <w:rFonts w:ascii="Verdana" w:hAnsi="Verdana" w:cs="Tahoma"/>
                <w:color w:val="000000"/>
                <w:sz w:val="20"/>
                <w:szCs w:val="20"/>
              </w:rPr>
              <w:t>ού</w:t>
            </w:r>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Κομάρων</w:t>
            </w:r>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Μαρασίων</w:t>
            </w:r>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Ορμενίου</w:t>
            </w:r>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Πενταλόφου</w:t>
            </w:r>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lastRenderedPageBreak/>
        <w:t>Σε περίπτωση χρήσης του καθεστώτος de minimis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0" w:name="_Toc448223843"/>
      <w:bookmarkStart w:id="1"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υπο-δράση για το σύνολο των προκηρυσσόμενων υπο-δράσεων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6C77AB87"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r w:rsidR="0017028C">
        <w:rPr>
          <w:rFonts w:ascii="Verdana" w:hAnsi="Verdana" w:cstheme="minorHAnsi"/>
          <w:bCs/>
          <w:sz w:val="20"/>
          <w:szCs w:val="20"/>
          <w:lang w:eastAsia="ar-SA"/>
        </w:rPr>
        <w:t>ν</w:t>
      </w:r>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0"/>
    <w:bookmarkEnd w:id="1"/>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lastRenderedPageBreak/>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στ)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7235B474"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r w:rsidR="0045220D" w:rsidRPr="00BE33B6">
        <w:rPr>
          <w:rFonts w:ascii="Verdana" w:hAnsi="Verdana" w:cstheme="minorHAnsi"/>
          <w:sz w:val="20"/>
          <w:szCs w:val="20"/>
        </w:rPr>
        <w:t>προαπαιτείτ</w:t>
      </w:r>
      <w:r w:rsidR="005E6ED4">
        <w:rPr>
          <w:rFonts w:ascii="Verdana" w:hAnsi="Verdana" w:cstheme="minorHAnsi"/>
          <w:sz w:val="20"/>
          <w:szCs w:val="20"/>
        </w:rPr>
        <w:t>αι</w:t>
      </w:r>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r w:rsidR="0045220D" w:rsidRPr="00BE33B6">
        <w:rPr>
          <w:rFonts w:ascii="Verdana" w:hAnsi="Verdana" w:cstheme="minorHAnsi"/>
          <w:sz w:val="20"/>
          <w:szCs w:val="20"/>
        </w:rPr>
        <w:t>καθ’</w:t>
      </w:r>
      <w:r w:rsidRPr="00BE33B6">
        <w:rPr>
          <w:rFonts w:ascii="Verdana" w:hAnsi="Verdana" w:cstheme="minorHAnsi"/>
          <w:sz w:val="20"/>
          <w:szCs w:val="20"/>
        </w:rPr>
        <w:t>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1158ADB2"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lastRenderedPageBreak/>
        <w:t xml:space="preserve">Η ολοκλήρωση της πράξης </w:t>
      </w:r>
      <w:r w:rsidR="00613957" w:rsidRPr="00C77721">
        <w:rPr>
          <w:rFonts w:ascii="Verdana" w:hAnsi="Verdana" w:cstheme="minorHAnsi"/>
          <w:sz w:val="20"/>
          <w:szCs w:val="20"/>
        </w:rPr>
        <w:t>δηλώνετ</w:t>
      </w:r>
      <w:r w:rsidR="005E6ED4">
        <w:rPr>
          <w:rFonts w:ascii="Verdana" w:hAnsi="Verdana" w:cstheme="minorHAnsi"/>
          <w:sz w:val="20"/>
          <w:szCs w:val="20"/>
        </w:rPr>
        <w:t>αι</w:t>
      </w:r>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περίπτωση μη τήρησης των παραπάνω, η πράξη απεντάσσεται,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(αρ.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Pr="00C77721"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lastRenderedPageBreak/>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σε  προσδιορισμένες  αγροτικές περιοχές ΤΠ, με ολοκληρωμένο πολυτομεακό ή/και  πολυταμειακό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σε ΜΜΕ 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 μεσαίες και μεγάλες</w:t>
            </w:r>
            <w:r w:rsidR="003D2969">
              <w:rPr>
                <w:rFonts w:ascii="Verdana" w:hAnsi="Verdana" w:cstheme="minorHAnsi"/>
                <w:color w:val="auto"/>
                <w:sz w:val="18"/>
                <w:szCs w:val="18"/>
              </w:rPr>
              <w:t xml:space="preserve"> 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 xml:space="preserve">Ενίσχυση επενδύσεων στην μεταποίηση, εμπορία και/ή ανάπτυξη γεωργικών προϊόντων </w:t>
            </w:r>
            <w:r w:rsidRPr="007C61D8">
              <w:rPr>
                <w:rFonts w:ascii="Verdana" w:hAnsi="Verdana"/>
                <w:sz w:val="18"/>
                <w:szCs w:val="18"/>
              </w:rPr>
              <w:lastRenderedPageBreak/>
              <w:t>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lastRenderedPageBreak/>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r w:rsidRPr="007C61D8">
              <w:rPr>
                <w:rFonts w:ascii="Verdana" w:hAnsi="Verdana" w:cs="Viner Hand ITC"/>
                <w:sz w:val="18"/>
                <w:szCs w:val="18"/>
              </w:rPr>
              <w:t>π</w:t>
            </w:r>
            <w:r w:rsidRPr="007C61D8">
              <w:rPr>
                <w:rFonts w:ascii="Verdana" w:hAnsi="Verdana" w:cs="Cambria"/>
                <w:sz w:val="18"/>
                <w:szCs w:val="18"/>
              </w:rPr>
              <w:t>ολυλειτουργικών</w:t>
            </w:r>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6D120FB" w:rsidR="00F46815" w:rsidRPr="0051378E" w:rsidRDefault="0051378E" w:rsidP="008C00FA">
            <w:pPr>
              <w:pStyle w:val="Default"/>
              <w:jc w:val="both"/>
              <w:rPr>
                <w:rFonts w:ascii="Verdana" w:hAnsi="Verdana" w:cstheme="minorHAnsi"/>
                <w:color w:val="auto"/>
                <w:sz w:val="18"/>
                <w:szCs w:val="18"/>
              </w:rPr>
            </w:pPr>
            <w:r w:rsidRPr="0051378E">
              <w:rPr>
                <w:rFonts w:ascii="Verdana" w:hAnsi="Verdana" w:cstheme="minorHAnsi"/>
                <w:bCs/>
                <w:color w:val="auto"/>
                <w:sz w:val="18"/>
                <w:szCs w:val="18"/>
              </w:rPr>
              <w:t>Ως προς την οικοτεχνία ως δικαιούχοι δύνανται να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Στα πολυλειτουργικά αγροκτήματα δικαιούχοι δύνανται να είναι αυτοί που ορίζονται στην ΚΥΑ 543/34450/24-3-2017..</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07B41701" w14:textId="77777777" w:rsidR="00891D2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5FE91B0A" w14:textId="22E34493" w:rsidR="007C61D8" w:rsidRPr="007C61D8" w:rsidRDefault="007C61D8" w:rsidP="00721E28">
            <w:pPr>
              <w:pStyle w:val="Default"/>
              <w:jc w:val="both"/>
              <w:rPr>
                <w:rFonts w:ascii="Verdana" w:hAnsi="Verdana" w:cstheme="minorHAnsi"/>
                <w:color w:val="auto"/>
                <w:sz w:val="18"/>
                <w:szCs w:val="18"/>
              </w:rPr>
            </w:pPr>
            <w:r w:rsidRPr="007C61D8">
              <w:rPr>
                <w:rFonts w:ascii="Verdana" w:hAnsi="Verdana"/>
                <w:sz w:val="18"/>
                <w:szCs w:val="18"/>
              </w:rPr>
              <w:t>.</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lastRenderedPageBreak/>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t>εξωχώριες / υπεράκτιες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120C3A57"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Καν. ΕΕ 651/2014 αρ.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και με το αρ.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lastRenderedPageBreak/>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ii.</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rFonts w:ascii="Verdana" w:hAnsi="Verdana" w:cstheme="minorHAnsi"/>
          <w:sz w:val="20"/>
          <w:szCs w:val="20"/>
        </w:rPr>
      </w:pPr>
      <w:r>
        <w:rPr>
          <w:rFonts w:ascii="Verdana" w:hAnsi="Verdana" w:cstheme="minorHAnsi"/>
          <w:sz w:val="20"/>
          <w:szCs w:val="20"/>
        </w:rPr>
        <w:lastRenderedPageBreak/>
        <w:t xml:space="preserve">ε) </w:t>
      </w:r>
      <w:r w:rsidR="00AA0266" w:rsidRPr="00AA0266">
        <w:rPr>
          <w:rFonts w:ascii="Verdana" w:hAnsi="Verdana" w:cstheme="minorHAnsi"/>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F06915" w:rsidRDefault="005E6ED4" w:rsidP="00AA0266">
      <w:pPr>
        <w:jc w:val="both"/>
        <w:rPr>
          <w:rFonts w:ascii="Verdana" w:hAnsi="Verdana" w:cstheme="minorHAnsi"/>
          <w:sz w:val="20"/>
          <w:szCs w:val="20"/>
        </w:rPr>
      </w:pPr>
      <w:r w:rsidRPr="00F06915">
        <w:rPr>
          <w:rFonts w:ascii="Verdana" w:hAnsi="Verdana" w:cstheme="minorHAnsi"/>
          <w:sz w:val="20"/>
          <w:szCs w:val="20"/>
        </w:rPr>
        <w:t>στ)</w:t>
      </w:r>
      <w:r w:rsidRPr="00F06915">
        <w:rPr>
          <w:rFonts w:ascii="Verdana" w:hAnsi="Verdana" w:cstheme="minorHAnsi"/>
          <w:bCs/>
          <w:sz w:val="20"/>
          <w:szCs w:val="20"/>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lastRenderedPageBreak/>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w:t>
      </w:r>
      <w:r w:rsidR="00E7065A" w:rsidRPr="00E7065A">
        <w:rPr>
          <w:rFonts w:ascii="Verdana" w:hAnsi="Verdana" w:cstheme="minorHAnsi"/>
          <w:sz w:val="20"/>
          <w:szCs w:val="20"/>
        </w:rPr>
        <w:lastRenderedPageBreak/>
        <w:t>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r w:rsidRPr="00BB481F">
        <w:rPr>
          <w:rFonts w:ascii="Verdana" w:hAnsi="Verdana" w:cstheme="minorHAnsi"/>
          <w:b/>
          <w:sz w:val="20"/>
          <w:szCs w:val="20"/>
        </w:rPr>
        <w:t>ii).</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r w:rsidR="009B240E" w:rsidRPr="009B240E">
        <w:rPr>
          <w:rFonts w:ascii="Verdana" w:hAnsi="Verdana" w:cstheme="minorHAnsi"/>
          <w:sz w:val="20"/>
          <w:szCs w:val="20"/>
        </w:rPr>
        <w:t xml:space="preserve"> σε μεγάλες επιχειρήσεις</w:t>
      </w:r>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r w:rsidR="009B240E">
        <w:rPr>
          <w:rFonts w:ascii="Verdana" w:hAnsi="Verdana" w:cstheme="minorHAnsi"/>
          <w:sz w:val="20"/>
          <w:szCs w:val="20"/>
        </w:rPr>
        <w:t xml:space="preserve"> </w:t>
      </w:r>
      <w:r w:rsidR="00EF5048" w:rsidRPr="00EF5048">
        <w:rPr>
          <w:rFonts w:ascii="Verdana" w:hAnsi="Verdana" w:cstheme="minorHAnsi"/>
          <w:sz w:val="20"/>
          <w:szCs w:val="20"/>
        </w:rPr>
        <w:lastRenderedPageBreak/>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είναι αποσβεστέα</w:t>
      </w:r>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r>
        <w:rPr>
          <w:rFonts w:ascii="Verdana" w:hAnsi="Verdana" w:cstheme="minorHAnsi"/>
          <w:sz w:val="20"/>
          <w:szCs w:val="20"/>
        </w:rPr>
        <w:t xml:space="preserve">   </w:t>
      </w:r>
      <w:r w:rsidRPr="009B240E">
        <w:rPr>
          <w:rFonts w:ascii="Verdana" w:hAnsi="Verdana" w:cstheme="minorHAnsi"/>
          <w:sz w:val="20"/>
          <w:szCs w:val="20"/>
          <w:lang w:val="en-US"/>
        </w:rPr>
        <w:t>VI</w:t>
      </w:r>
      <w:r w:rsidRPr="00F06915">
        <w:rPr>
          <w:rFonts w:ascii="Verdana" w:hAnsi="Verdana" w:cstheme="minorHAnsi"/>
          <w:sz w:val="20"/>
          <w:szCs w:val="20"/>
        </w:rPr>
        <w:t xml:space="preserve">. </w:t>
      </w:r>
      <w:r w:rsidRPr="009B240E">
        <w:rPr>
          <w:rFonts w:ascii="Verdana" w:hAnsi="Verdana" w:cstheme="minorHAnsi"/>
          <w:sz w:val="20"/>
          <w:szCs w:val="20"/>
        </w:rPr>
        <w:t>δεν έχουν αναλάβει τη δραστηριότητα άλλης επιχείρησης</w:t>
      </w:r>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lastRenderedPageBreak/>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υποδράσεων εκτός των Υποδράσεων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5D378EA9"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 xml:space="preserve">. </w:t>
      </w:r>
      <w:r w:rsidR="00534900" w:rsidRPr="00534900">
        <w:rPr>
          <w:rFonts w:ascii="Verdana" w:hAnsi="Verdana" w:cstheme="minorHAnsi"/>
          <w:sz w:val="20"/>
          <w:szCs w:val="20"/>
        </w:rPr>
        <w:t>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7A26E9AD"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w:t>
      </w:r>
      <w:r w:rsidR="00565780" w:rsidRPr="00C77721">
        <w:rPr>
          <w:rFonts w:ascii="Verdana" w:hAnsi="Verdana" w:cstheme="minorHAnsi"/>
          <w:sz w:val="20"/>
          <w:szCs w:val="20"/>
        </w:rPr>
        <w:t>ράσεις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r w:rsidR="002F4E71">
        <w:rPr>
          <w:rFonts w:ascii="Verdana" w:hAnsi="Verdana" w:cstheme="minorHAnsi"/>
          <w:sz w:val="20"/>
          <w:szCs w:val="20"/>
        </w:rPr>
        <w:t>3</w:t>
      </w:r>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Από τις ανωτέρω δαπάνες όταν γίνεται χρήση του αρ.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σύνδεσης με Οργανισμούς Κοινής Ωφέλειας (ΟΚΩ) όπως ενδεικτικά ΔΕΗ, ύδρευση, αποχέτευση, τηλεφωνοδότηση κλπ</w:t>
      </w:r>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Οι επιλέξιμες δαπάνες των Υποδράσεων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w:t>
      </w:r>
      <w:r w:rsidR="003C022A" w:rsidRPr="003C022A">
        <w:rPr>
          <w:rFonts w:asciiTheme="minorHAnsi" w:hAnsiTheme="minorHAnsi" w:cstheme="minorHAnsi"/>
          <w:sz w:val="24"/>
          <w:szCs w:val="24"/>
        </w:rPr>
        <w:t xml:space="preserve"> </w:t>
      </w:r>
      <w:r w:rsidR="003C022A" w:rsidRPr="00105B86">
        <w:rPr>
          <w:rFonts w:ascii="Verdana" w:hAnsi="Verdana" w:cstheme="minorHAnsi"/>
          <w:sz w:val="20"/>
          <w:szCs w:val="20"/>
        </w:rPr>
        <w:t>Στις περιπτώσεις πράξεων που ενισχύονται βάσει του Καν. ΕΕ 1407/2013 θα πρέπει οπωσδή</w:t>
      </w:r>
      <w:r w:rsidR="00512D79">
        <w:rPr>
          <w:rFonts w:ascii="Verdana" w:hAnsi="Verdana" w:cstheme="minorHAnsi"/>
          <w:sz w:val="20"/>
          <w:szCs w:val="20"/>
        </w:rPr>
        <w:t>ποτε να πληροίτε το σημείο Ι.Α</w:t>
      </w:r>
      <w:r w:rsidR="003C022A" w:rsidRPr="00105B86">
        <w:rPr>
          <w:rFonts w:ascii="Verdana" w:hAnsi="Verdana" w:cstheme="minorHAnsi"/>
          <w:sz w:val="20"/>
          <w:szCs w:val="20"/>
        </w:rPr>
        <w:t xml:space="preserve"> του άρθρου 4 της 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Κατασκευή οικίσκου – αποθήκης για τις ανάγκες φύλαξης – εξυπηρέτησης της επένδυσης, μέχρι 40 τ.μ,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7BC5E3B9"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r w:rsidR="002F4E71">
        <w:rPr>
          <w:rFonts w:ascii="Verdana" w:hAnsi="Verdana" w:cstheme="minorHAnsi"/>
          <w:sz w:val="20"/>
          <w:szCs w:val="20"/>
        </w:rPr>
        <w:t>ην</w:t>
      </w:r>
      <w:r w:rsidRPr="00650744">
        <w:rPr>
          <w:rFonts w:ascii="Verdana" w:hAnsi="Verdana" w:cstheme="minorHAnsi"/>
          <w:sz w:val="20"/>
          <w:szCs w:val="20"/>
        </w:rPr>
        <w:t xml:space="preserve"> Υποδράσ</w:t>
      </w:r>
      <w:r w:rsidR="002F4E71">
        <w:rPr>
          <w:rFonts w:ascii="Verdana" w:hAnsi="Verdana" w:cstheme="minorHAnsi"/>
          <w:sz w:val="20"/>
          <w:szCs w:val="20"/>
        </w:rPr>
        <w:t>η</w:t>
      </w:r>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r w:rsidR="002F4E71">
        <w:rPr>
          <w:rFonts w:ascii="Verdana" w:hAnsi="Verdana" w:cstheme="minorHAnsi"/>
          <w:sz w:val="20"/>
          <w:szCs w:val="20"/>
        </w:rPr>
        <w:t>ην</w:t>
      </w:r>
      <w:r w:rsidRPr="00650744">
        <w:rPr>
          <w:rFonts w:ascii="Verdana" w:hAnsi="Verdana" w:cstheme="minorHAnsi"/>
          <w:sz w:val="20"/>
          <w:szCs w:val="20"/>
        </w:rPr>
        <w:t xml:space="preserve"> εν λόγω Υποδράσ</w:t>
      </w:r>
      <w:r w:rsidR="002F4E71">
        <w:rPr>
          <w:rFonts w:ascii="Verdana" w:hAnsi="Verdana" w:cstheme="minorHAnsi"/>
          <w:sz w:val="20"/>
          <w:szCs w:val="20"/>
        </w:rPr>
        <w:t>η</w:t>
      </w:r>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lastRenderedPageBreak/>
        <w:t>•</w:t>
      </w:r>
      <w:r w:rsidRPr="00650744">
        <w:rPr>
          <w:rFonts w:ascii="Verdana" w:hAnsi="Verdana" w:cstheme="minorHAnsi"/>
          <w:sz w:val="20"/>
          <w:szCs w:val="20"/>
        </w:rPr>
        <w:tab/>
        <w:t>Κατασκευή οικίσκου – αποθήκης για τις ανάγκες φύλαξης – εξυπηρέτησης της επένδυσης, μέχρι 40 τ.μ,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Ως μη επιλέξιμες δαπάνες στο πλαίσιο των επενδυτικών προτάσεων για όλες τις κατηγορίες υποδράσεων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w:t>
      </w:r>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στο πλαίσιο των επενδυτικών προτάσεων στις εν λόγω Υποδράσεις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5.2.3 Ειδικές περιπτώσεις επιλεξιμοτήτων</w:t>
      </w:r>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71BE2F6F"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r w:rsidR="00F9355D" w:rsidRPr="002326C6">
        <w:rPr>
          <w:rFonts w:ascii="Verdana" w:hAnsi="Verdana" w:cstheme="minorHAnsi"/>
          <w:sz w:val="20"/>
          <w:szCs w:val="20"/>
        </w:rPr>
        <w:t xml:space="preserve">δαπάνες προβολής της περιοχής (όπως ιστοσελίδα, συμμετοχή σε εκθέσεις κλπ)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τις υποδράσεις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282E9FA6"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r w:rsidR="002F4E71" w:rsidRPr="002F4E71">
        <w:rPr>
          <w:rFonts w:ascii="Verdana" w:hAnsi="Verdana" w:cstheme="minorHAnsi"/>
          <w:sz w:val="20"/>
          <w:szCs w:val="20"/>
        </w:rPr>
        <w:t xml:space="preserve">όσον αφορά τα προσύμφωνα μίσθωσης και την αγορά ακινήτου, θα πρέπει </w:t>
      </w:r>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Επανασυμπληρώνεται μόνο για τις Υποδράσεις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Επανασυμπληρώνεται μόνο για τις Υποδράσεις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lastRenderedPageBreak/>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Η πρόσκληση δημοσιεύεται στους ιστό</w:t>
      </w:r>
      <w:r>
        <w:rPr>
          <w:rFonts w:ascii="Verdana" w:hAnsi="Verdana" w:cstheme="minorHAnsi"/>
          <w:sz w:val="20"/>
          <w:szCs w:val="20"/>
          <w:u w:val="single"/>
        </w:rPr>
        <w:t>τοπους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r>
        <w:rPr>
          <w:rFonts w:ascii="Verdana" w:hAnsi="Verdana" w:cstheme="minorHAnsi"/>
          <w:sz w:val="20"/>
          <w:szCs w:val="20"/>
          <w:u w:val="single"/>
          <w:lang w:val="en-US"/>
        </w:rPr>
        <w:t>eeabe</w:t>
      </w:r>
      <w:r w:rsidRPr="00282B1F">
        <w:rPr>
          <w:rFonts w:ascii="Verdana" w:hAnsi="Verdana" w:cstheme="minorHAnsi"/>
          <w:sz w:val="20"/>
          <w:szCs w:val="20"/>
          <w:u w:val="single"/>
        </w:rPr>
        <w:t>.gr,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e-mail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ιστότοπους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r w:rsidR="00FF59BD" w:rsidRPr="00ED6C26">
          <w:rPr>
            <w:rStyle w:val="-"/>
            <w:rFonts w:ascii="Verdana" w:hAnsi="Verdana" w:cstheme="minorHAnsi"/>
            <w:sz w:val="20"/>
            <w:szCs w:val="20"/>
            <w:lang w:val="en-US" w:eastAsia="en-US"/>
          </w:rPr>
          <w:t>eeabe</w:t>
        </w:r>
        <w:r w:rsidR="00FF59BD" w:rsidRPr="00ED6C26">
          <w:rPr>
            <w:rStyle w:val="-"/>
            <w:rFonts w:ascii="Verdana" w:hAnsi="Verdana" w:cstheme="minorHAnsi"/>
            <w:sz w:val="20"/>
            <w:szCs w:val="20"/>
            <w:lang w:eastAsia="en-US"/>
          </w:rPr>
          <w:t>.gr</w:t>
        </w:r>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53BE883C" w:rsidR="00663BAA" w:rsidRPr="00E14DC5" w:rsidRDefault="00663BAA" w:rsidP="00E67E10">
      <w:pPr>
        <w:spacing w:line="276" w:lineRule="auto"/>
        <w:jc w:val="both"/>
        <w:rPr>
          <w:rFonts w:ascii="Verdana" w:hAnsi="Verdana" w:cstheme="minorHAnsi"/>
          <w:b/>
          <w:color w:val="FF0000"/>
          <w:sz w:val="20"/>
          <w:szCs w:val="20"/>
        </w:rPr>
      </w:pPr>
      <w:r w:rsidRPr="00E14DC5">
        <w:rPr>
          <w:rFonts w:ascii="Verdana" w:hAnsi="Verdana" w:cstheme="minorHAnsi"/>
          <w:b/>
          <w:color w:val="FF0000"/>
          <w:sz w:val="20"/>
          <w:szCs w:val="20"/>
        </w:rPr>
        <w:t xml:space="preserve">Η υποβολή των αιτήσεων στήριξης </w:t>
      </w:r>
      <w:r w:rsidR="007F5C43" w:rsidRPr="00E14DC5">
        <w:rPr>
          <w:rFonts w:ascii="Verdana" w:hAnsi="Verdana" w:cstheme="minorHAnsi"/>
          <w:b/>
          <w:color w:val="FF0000"/>
          <w:sz w:val="20"/>
          <w:szCs w:val="20"/>
        </w:rPr>
        <w:t xml:space="preserve">στο ΠΣΚΕ, </w:t>
      </w:r>
      <w:r w:rsidRPr="00E14DC5">
        <w:rPr>
          <w:rFonts w:ascii="Verdana" w:hAnsi="Verdana" w:cstheme="minorHAnsi"/>
          <w:b/>
          <w:color w:val="FF0000"/>
          <w:sz w:val="20"/>
          <w:szCs w:val="20"/>
        </w:rPr>
        <w:t xml:space="preserve">πραγματοποιείται κατά το διάστημα από  </w:t>
      </w:r>
      <w:r w:rsidR="00006591">
        <w:rPr>
          <w:rFonts w:ascii="Verdana" w:hAnsi="Verdana" w:cstheme="minorHAnsi"/>
          <w:b/>
          <w:color w:val="FF0000"/>
          <w:sz w:val="20"/>
          <w:szCs w:val="20"/>
        </w:rPr>
        <w:t>07</w:t>
      </w:r>
      <w:r w:rsidRPr="00E14DC5">
        <w:rPr>
          <w:rFonts w:ascii="Verdana" w:hAnsi="Verdana" w:cstheme="minorHAnsi"/>
          <w:b/>
          <w:color w:val="FF0000"/>
          <w:sz w:val="20"/>
          <w:szCs w:val="20"/>
        </w:rPr>
        <w:t>/</w:t>
      </w:r>
      <w:r w:rsidR="00006591">
        <w:rPr>
          <w:rFonts w:ascii="Verdana" w:hAnsi="Verdana" w:cstheme="minorHAnsi"/>
          <w:b/>
          <w:color w:val="FF0000"/>
          <w:sz w:val="20"/>
          <w:szCs w:val="20"/>
        </w:rPr>
        <w:t>05</w:t>
      </w:r>
      <w:r w:rsidRPr="00E14DC5">
        <w:rPr>
          <w:rFonts w:ascii="Verdana" w:hAnsi="Verdana" w:cstheme="minorHAnsi"/>
          <w:b/>
          <w:color w:val="FF0000"/>
          <w:sz w:val="20"/>
          <w:szCs w:val="20"/>
        </w:rPr>
        <w:t>/</w:t>
      </w:r>
      <w:r w:rsidR="00006591">
        <w:rPr>
          <w:rFonts w:ascii="Verdana" w:hAnsi="Verdana" w:cstheme="minorHAnsi"/>
          <w:b/>
          <w:color w:val="FF0000"/>
          <w:sz w:val="20"/>
          <w:szCs w:val="20"/>
        </w:rPr>
        <w:t>2019 και ώρα 13:00 μ.μ.</w:t>
      </w:r>
      <w:r w:rsidRPr="00E14DC5">
        <w:rPr>
          <w:rFonts w:ascii="Verdana" w:hAnsi="Verdana" w:cstheme="minorHAnsi"/>
          <w:b/>
          <w:color w:val="FF0000"/>
          <w:sz w:val="20"/>
          <w:szCs w:val="20"/>
        </w:rPr>
        <w:t xml:space="preserve">    </w:t>
      </w:r>
      <w:r w:rsidR="00006591" w:rsidRPr="00E14DC5">
        <w:rPr>
          <w:rFonts w:ascii="Verdana" w:hAnsi="Verdana" w:cstheme="minorHAnsi"/>
          <w:b/>
          <w:color w:val="FF0000"/>
          <w:sz w:val="20"/>
          <w:szCs w:val="20"/>
        </w:rPr>
        <w:t>έως</w:t>
      </w:r>
      <w:r w:rsidRPr="00E14DC5">
        <w:rPr>
          <w:rFonts w:ascii="Verdana" w:hAnsi="Verdana" w:cstheme="minorHAnsi"/>
          <w:b/>
          <w:color w:val="FF0000"/>
          <w:sz w:val="20"/>
          <w:szCs w:val="20"/>
        </w:rPr>
        <w:t xml:space="preserve"> </w:t>
      </w:r>
      <w:r w:rsidR="00006591">
        <w:rPr>
          <w:rFonts w:ascii="Verdana" w:hAnsi="Verdana" w:cstheme="minorHAnsi"/>
          <w:b/>
          <w:color w:val="FF0000"/>
          <w:sz w:val="20"/>
          <w:szCs w:val="20"/>
        </w:rPr>
        <w:t>09</w:t>
      </w:r>
      <w:r w:rsidRPr="00E14DC5">
        <w:rPr>
          <w:rFonts w:ascii="Verdana" w:hAnsi="Verdana" w:cstheme="minorHAnsi"/>
          <w:b/>
          <w:color w:val="FF0000"/>
          <w:sz w:val="20"/>
          <w:szCs w:val="20"/>
        </w:rPr>
        <w:t>/</w:t>
      </w:r>
      <w:r w:rsidR="00006591">
        <w:rPr>
          <w:rFonts w:ascii="Verdana" w:hAnsi="Verdana" w:cstheme="minorHAnsi"/>
          <w:b/>
          <w:color w:val="FF0000"/>
          <w:sz w:val="20"/>
          <w:szCs w:val="20"/>
        </w:rPr>
        <w:t>08</w:t>
      </w:r>
      <w:r w:rsidRPr="00E14DC5">
        <w:rPr>
          <w:rFonts w:ascii="Verdana" w:hAnsi="Verdana" w:cstheme="minorHAnsi"/>
          <w:b/>
          <w:color w:val="FF0000"/>
          <w:sz w:val="20"/>
          <w:szCs w:val="20"/>
        </w:rPr>
        <w:t>/</w:t>
      </w:r>
      <w:r w:rsidR="00006591">
        <w:rPr>
          <w:rFonts w:ascii="Verdana" w:hAnsi="Verdana" w:cstheme="minorHAnsi"/>
          <w:b/>
          <w:color w:val="FF0000"/>
          <w:sz w:val="20"/>
          <w:szCs w:val="20"/>
        </w:rPr>
        <w:t>2019 και ώρα 15:00 μ.μ.</w:t>
      </w:r>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23F4EBF7"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FF59BD">
        <w:rPr>
          <w:rFonts w:ascii="Verdana" w:hAnsi="Verdana" w:cstheme="minorHAnsi"/>
          <w:color w:val="FF0000"/>
          <w:sz w:val="20"/>
          <w:szCs w:val="20"/>
        </w:rPr>
        <w:t xml:space="preserve">και τις </w:t>
      </w:r>
      <w:r w:rsidR="0047607D">
        <w:rPr>
          <w:rFonts w:ascii="Verdana" w:hAnsi="Verdana" w:cstheme="minorHAnsi"/>
          <w:color w:val="FF0000"/>
          <w:sz w:val="20"/>
          <w:szCs w:val="20"/>
        </w:rPr>
        <w:t>19</w:t>
      </w:r>
      <w:r w:rsidRPr="00FF59BD">
        <w:rPr>
          <w:rFonts w:ascii="Verdana" w:hAnsi="Verdana" w:cstheme="minorHAnsi"/>
          <w:color w:val="FF0000"/>
          <w:sz w:val="20"/>
          <w:szCs w:val="20"/>
        </w:rPr>
        <w:t>/</w:t>
      </w:r>
      <w:r w:rsidR="0047607D">
        <w:rPr>
          <w:rFonts w:ascii="Verdana" w:hAnsi="Verdana" w:cstheme="minorHAnsi"/>
          <w:color w:val="FF0000"/>
          <w:sz w:val="20"/>
          <w:szCs w:val="20"/>
        </w:rPr>
        <w:t>08</w:t>
      </w:r>
      <w:r w:rsidRPr="00FF59BD">
        <w:rPr>
          <w:rFonts w:ascii="Verdana" w:hAnsi="Verdana" w:cstheme="minorHAnsi"/>
          <w:color w:val="FF0000"/>
          <w:sz w:val="20"/>
          <w:szCs w:val="20"/>
        </w:rPr>
        <w:t>/</w:t>
      </w:r>
      <w:r w:rsidR="0047607D">
        <w:rPr>
          <w:rFonts w:ascii="Verdana" w:hAnsi="Verdana" w:cstheme="minorHAnsi"/>
          <w:color w:val="FF0000"/>
          <w:sz w:val="20"/>
          <w:szCs w:val="20"/>
        </w:rPr>
        <w:t>2019</w:t>
      </w:r>
      <w:r w:rsidRPr="00FF59BD">
        <w:rPr>
          <w:rFonts w:ascii="Verdana" w:hAnsi="Verdana" w:cstheme="minorHAnsi"/>
          <w:color w:val="FF0000"/>
          <w:sz w:val="20"/>
          <w:szCs w:val="20"/>
        </w:rPr>
        <w:t>, Ημέρα</w:t>
      </w:r>
      <w:r w:rsidR="0047607D">
        <w:rPr>
          <w:rFonts w:ascii="Verdana" w:hAnsi="Verdana" w:cstheme="minorHAnsi"/>
          <w:color w:val="FF0000"/>
          <w:sz w:val="20"/>
          <w:szCs w:val="20"/>
        </w:rPr>
        <w:t xml:space="preserve"> Δευτέρα</w:t>
      </w:r>
      <w:r w:rsidRPr="00FF59BD">
        <w:rPr>
          <w:rFonts w:ascii="Verdana" w:hAnsi="Verdana" w:cstheme="minorHAnsi"/>
          <w:sz w:val="20"/>
          <w:szCs w:val="20"/>
        </w:rPr>
        <w:t xml:space="preserve"> και ώρα </w:t>
      </w:r>
      <w:r w:rsidR="0047607D">
        <w:rPr>
          <w:rFonts w:ascii="Verdana" w:hAnsi="Verdana" w:cstheme="minorHAnsi"/>
          <w:sz w:val="20"/>
          <w:szCs w:val="20"/>
        </w:rPr>
        <w:t xml:space="preserve">14:00 </w:t>
      </w:r>
      <w:r w:rsidRPr="00FF59BD">
        <w:rPr>
          <w:rFonts w:ascii="Verdana" w:hAnsi="Verdana" w:cstheme="minorHAnsi"/>
          <w:sz w:val="20"/>
          <w:szCs w:val="20"/>
        </w:rPr>
        <w:t xml:space="preserve">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w:t>
      </w:r>
      <w:r w:rsidRPr="00FF59BD">
        <w:rPr>
          <w:rFonts w:ascii="Verdana" w:hAnsi="Verdana" w:cstheme="minorHAnsi"/>
          <w:sz w:val="20"/>
          <w:szCs w:val="20"/>
        </w:rPr>
        <w:lastRenderedPageBreak/>
        <w:t>τεκμηρίωσης», τα οποία δύναται να εκπληρώνουν τα κριτήρια επιλεξιμότητας και επιλογής της παρούσας πρόσκλησης.</w:t>
      </w:r>
    </w:p>
    <w:p w14:paraId="3C40B296" w14:textId="635BF38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υποβολής του φακέλου δικαιολογητικών ιδιοχείρως, αυτά θα πρωτοκολλούνται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F06915" w:rsidRPr="007D603C" w:rsidRDefault="00F06915"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F06915" w:rsidRPr="00C77721" w:rsidRDefault="00F06915"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F06915" w:rsidRPr="007D603C" w:rsidRDefault="00F06915"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hyperlink r:id="rId18" w:history="1">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mou</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hyperlink>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για αποοριστικοποίηση  της αίτησης, από τον δικαιούχο, στο οποίο θα παραθέτει το ΑΦΜ του, τους λόγους αποοριστικοποίησης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7EAA7F20"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F06915">
        <w:rPr>
          <w:rFonts w:ascii="Verdana" w:hAnsi="Verdana" w:cstheme="minorHAnsi"/>
          <w:sz w:val="20"/>
          <w:szCs w:val="20"/>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lastRenderedPageBreak/>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2877776C"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Η ΟΤΔ ελέγχει το καθεστώς de minimis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lastRenderedPageBreak/>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0F9AE1EA" w14:textId="77777777" w:rsidR="002F142E" w:rsidRPr="00C77721" w:rsidRDefault="002F142E" w:rsidP="00984195">
      <w:pPr>
        <w:jc w:val="both"/>
        <w:rPr>
          <w:rFonts w:ascii="Verdana" w:hAnsi="Verdana" w:cstheme="minorHAnsi"/>
          <w:sz w:val="20"/>
          <w:szCs w:val="20"/>
        </w:rPr>
      </w:pPr>
    </w:p>
    <w:p w14:paraId="38799205" w14:textId="1724031A" w:rsidR="00B44CF6" w:rsidRPr="00C77721"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r w:rsidR="00B44CF6" w:rsidRPr="007E1BF1">
        <w:rPr>
          <w:rFonts w:ascii="Verdana" w:hAnsi="Verdana" w:cstheme="minorHAnsi"/>
          <w:sz w:val="20"/>
          <w:szCs w:val="20"/>
        </w:rPr>
        <w:t xml:space="preserve"> </w:t>
      </w:r>
    </w:p>
    <w:p w14:paraId="1FCD0C82" w14:textId="77777777" w:rsidR="002F142E" w:rsidRDefault="002F142E"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μών Μονάδος.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r w:rsidRPr="00C77721">
        <w:rPr>
          <w:rFonts w:ascii="Verdana" w:hAnsi="Verdana" w:cstheme="minorHAnsi"/>
          <w:b/>
          <w:sz w:val="20"/>
          <w:szCs w:val="20"/>
        </w:rPr>
        <w:t>Ενδικοφανής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Συστήνεται Επιτροπή Ενδι</w:t>
      </w:r>
      <w:r w:rsidR="00854BD7" w:rsidRPr="00854BD7">
        <w:rPr>
          <w:rFonts w:ascii="Verdana" w:hAnsi="Verdana" w:cstheme="minorHAnsi"/>
          <w:sz w:val="20"/>
          <w:szCs w:val="20"/>
        </w:rPr>
        <w:t>κοφανών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9"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xml:space="preserve">». Η </w:t>
      </w:r>
      <w:r w:rsidR="005F44BE" w:rsidRPr="00EA6B8F">
        <w:rPr>
          <w:rFonts w:ascii="Verdana" w:hAnsi="Verdana" w:cstheme="minorHAnsi"/>
          <w:sz w:val="20"/>
          <w:szCs w:val="20"/>
        </w:rPr>
        <w:lastRenderedPageBreak/>
        <w:t>προσφυγή εξετάζεται από την Επιτροπή Ενδικοφανών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Ενδικοφανών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r w:rsidRPr="00012181">
        <w:rPr>
          <w:rFonts w:ascii="Verdana" w:hAnsi="Verdana" w:cstheme="minorHAnsi"/>
          <w:b/>
          <w:sz w:val="20"/>
          <w:szCs w:val="20"/>
        </w:rPr>
        <w:t>Υπερδεύσμευση</w:t>
      </w:r>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r w:rsidR="0045220D" w:rsidRPr="00012181">
        <w:rPr>
          <w:rFonts w:ascii="Verdana" w:hAnsi="Verdana" w:cstheme="minorHAnsi"/>
          <w:sz w:val="20"/>
          <w:szCs w:val="20"/>
        </w:rPr>
        <w:t>υπερδεύσμευση</w:t>
      </w:r>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υπερδεύσμευση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(4) θα πρέπει η ΟΤΔ «Εταιρεία Έρευνας και Ανάπτυξης Βορείου Έβρου Α.Ε. – Αναπτυξιακή Ανώνυμη Εταιρεία Ο.Τ.Α.» να αιτηθεί υπερδεύσμευση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2B9D4820" w14:textId="77777777" w:rsidR="00012181" w:rsidRPr="00012181" w:rsidRDefault="00012181"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lastRenderedPageBreak/>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ενδικοφανών</w:t>
      </w:r>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Ο τελικός διατάκτης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w:t>
      </w:r>
      <w:r w:rsidRPr="00C77721">
        <w:rPr>
          <w:rFonts w:ascii="Verdana" w:hAnsi="Verdana" w:cstheme="minorHAnsi"/>
          <w:sz w:val="20"/>
          <w:szCs w:val="20"/>
        </w:rPr>
        <w:lastRenderedPageBreak/>
        <w:t>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γ. καθολική αδυναμία πιστοποίησης του οικονομικού αντικειμένου και της επιλεξιμότητάς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ιστότοπο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r w:rsidRPr="00935855">
        <w:rPr>
          <w:rFonts w:ascii="Verdana" w:hAnsi="Verdana" w:cstheme="minorHAnsi"/>
          <w:sz w:val="20"/>
          <w:szCs w:val="20"/>
          <w:lang w:val="en-US"/>
        </w:rPr>
        <w:t>eeabe</w:t>
      </w:r>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lastRenderedPageBreak/>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τελικός διατάκτης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w:t>
      </w:r>
      <w:r w:rsidRPr="00C77721">
        <w:rPr>
          <w:rFonts w:ascii="Verdana" w:hAnsi="Verdana" w:cstheme="minorHAnsi"/>
          <w:sz w:val="20"/>
          <w:szCs w:val="20"/>
        </w:rPr>
        <w:lastRenderedPageBreak/>
        <w:t xml:space="preserve">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r w:rsidR="0030108E">
        <w:rPr>
          <w:rFonts w:ascii="Verdana" w:hAnsi="Verdana" w:cstheme="minorHAnsi"/>
          <w:sz w:val="20"/>
          <w:szCs w:val="20"/>
        </w:rPr>
        <w:t>ιστότοπο</w:t>
      </w:r>
      <w:r w:rsidR="00DF60D4" w:rsidRPr="00C77721">
        <w:rPr>
          <w:rFonts w:ascii="Verdana" w:hAnsi="Verdana" w:cstheme="minorHAnsi"/>
          <w:sz w:val="20"/>
          <w:szCs w:val="20"/>
        </w:rPr>
        <w:t xml:space="preserve"> της </w:t>
      </w:r>
      <w:r w:rsidR="005730F4">
        <w:rPr>
          <w:rFonts w:ascii="Verdana" w:hAnsi="Verdana" w:cstheme="minorHAnsi"/>
          <w:sz w:val="20"/>
          <w:szCs w:val="20"/>
        </w:rPr>
        <w:t>www.</w:t>
      </w:r>
      <w:r w:rsidR="005730F4">
        <w:rPr>
          <w:rFonts w:ascii="Verdana" w:hAnsi="Verdana" w:cstheme="minorHAnsi"/>
          <w:sz w:val="20"/>
          <w:szCs w:val="20"/>
          <w:lang w:val="en-US"/>
        </w:rPr>
        <w:t>eeabe</w:t>
      </w:r>
      <w:r w:rsidR="00DF60D4" w:rsidRPr="00C77721">
        <w:rPr>
          <w:rFonts w:ascii="Verdana" w:hAnsi="Verdana" w:cstheme="minorHAnsi"/>
          <w:sz w:val="20"/>
          <w:szCs w:val="20"/>
        </w:rPr>
        <w:t>.gr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r w:rsidR="00E730CB" w:rsidRPr="00E730CB">
        <w:rPr>
          <w:rFonts w:ascii="Verdana" w:hAnsi="Verdana" w:cstheme="minorHAnsi"/>
          <w:sz w:val="20"/>
          <w:szCs w:val="20"/>
          <w:lang w:val="en-US"/>
        </w:rPr>
        <w:t>eeabe</w:t>
      </w:r>
      <w:r w:rsidR="00E730CB" w:rsidRPr="00E730CB">
        <w:rPr>
          <w:rFonts w:ascii="Verdana" w:hAnsi="Verdana" w:cstheme="minorHAnsi"/>
          <w:sz w:val="20"/>
          <w:szCs w:val="20"/>
        </w:rPr>
        <w:t>.gr</w:t>
      </w:r>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050F64C9"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t xml:space="preserve">Όσον αφορά τις διαδικασίες και τα έντυπα </w:t>
      </w:r>
      <w:r w:rsidR="009D1820" w:rsidRPr="009D1820">
        <w:rPr>
          <w:rFonts w:ascii="Verdana" w:hAnsi="Verdana" w:cstheme="minorHAnsi"/>
          <w:sz w:val="20"/>
          <w:szCs w:val="20"/>
        </w:rPr>
        <w:t>πληρωμής</w:t>
      </w:r>
      <w:r w:rsidRPr="000654DB">
        <w:rPr>
          <w:rFonts w:ascii="Verdana" w:hAnsi="Verdana" w:cstheme="minorHAnsi"/>
          <w:sz w:val="20"/>
          <w:szCs w:val="20"/>
        </w:rPr>
        <w:t>,</w:t>
      </w:r>
      <w:r w:rsidR="009D1820">
        <w:rPr>
          <w:rFonts w:ascii="Verdana" w:hAnsi="Verdana" w:cstheme="minorHAnsi"/>
          <w:sz w:val="20"/>
          <w:szCs w:val="20"/>
        </w:rPr>
        <w:t xml:space="preserve"> </w:t>
      </w:r>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20" w:history="1">
        <w:r w:rsidR="00894EEA" w:rsidRPr="00CD66BF">
          <w:rPr>
            <w:rStyle w:val="-"/>
            <w:rFonts w:ascii="Verdana" w:hAnsi="Verdana" w:cstheme="minorHAnsi"/>
            <w:sz w:val="20"/>
            <w:szCs w:val="20"/>
          </w:rPr>
          <w:t>www.</w:t>
        </w:r>
        <w:r w:rsidR="00894EEA" w:rsidRPr="00CD66BF">
          <w:rPr>
            <w:rStyle w:val="-"/>
            <w:rFonts w:ascii="Verdana" w:hAnsi="Verdana" w:cstheme="minorHAnsi"/>
            <w:sz w:val="20"/>
            <w:szCs w:val="20"/>
            <w:lang w:val="en-US"/>
          </w:rPr>
          <w:t>eeabe</w:t>
        </w:r>
        <w:r w:rsidR="00894EEA" w:rsidRPr="00CD66BF">
          <w:rPr>
            <w:rStyle w:val="-"/>
            <w:rFonts w:ascii="Verdana" w:hAnsi="Verdana" w:cstheme="minorHAnsi"/>
            <w:sz w:val="20"/>
            <w:szCs w:val="20"/>
          </w:rPr>
          <w:t>.gr</w:t>
        </w:r>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lastRenderedPageBreak/>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3A9A2C0A"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r w:rsidR="00FC6445" w:rsidRPr="00C77721">
        <w:rPr>
          <w:rFonts w:ascii="Verdana" w:hAnsi="Verdana" w:cstheme="minorHAnsi"/>
          <w:sz w:val="20"/>
          <w:szCs w:val="20"/>
        </w:rPr>
        <w:t>παρακρατείτ</w:t>
      </w:r>
      <w:r w:rsidR="009D1820">
        <w:rPr>
          <w:rFonts w:ascii="Verdana" w:hAnsi="Verdana" w:cstheme="minorHAnsi"/>
          <w:sz w:val="20"/>
          <w:szCs w:val="20"/>
        </w:rPr>
        <w:t>αι</w:t>
      </w:r>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 xml:space="preserve">υλοποίηση της πράξης ή ακόμα και μετά την </w:t>
      </w:r>
      <w:r w:rsidR="007379FE" w:rsidRPr="00C77721">
        <w:rPr>
          <w:rFonts w:ascii="Verdana" w:hAnsi="Verdana" w:cstheme="minorHAnsi"/>
          <w:sz w:val="20"/>
          <w:szCs w:val="20"/>
        </w:rPr>
        <w:lastRenderedPageBreak/>
        <w:t>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w:t>
      </w:r>
      <w:r w:rsidRPr="00C77721">
        <w:rPr>
          <w:rFonts w:ascii="Verdana" w:hAnsi="Verdana" w:cstheme="minorHAnsi"/>
          <w:sz w:val="20"/>
          <w:szCs w:val="20"/>
        </w:rPr>
        <w:lastRenderedPageBreak/>
        <w:t xml:space="preserve">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μήνου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όπου: a = Πραγματικά δημιουργηθείσες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w:t>
      </w:r>
      <w:r w:rsidRPr="005A11E7">
        <w:rPr>
          <w:rFonts w:ascii="Verdana" w:hAnsi="Verdana" w:cstheme="minorHAnsi"/>
          <w:sz w:val="20"/>
          <w:szCs w:val="20"/>
        </w:rPr>
        <w:lastRenderedPageBreak/>
        <w:t xml:space="preserve">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lastRenderedPageBreak/>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lastRenderedPageBreak/>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1"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r>
        <w:rPr>
          <w:rFonts w:ascii="Verdana" w:hAnsi="Verdana" w:cstheme="minorHAnsi"/>
          <w:b/>
          <w:sz w:val="20"/>
          <w:szCs w:val="20"/>
        </w:rPr>
        <w:t>Λαγγουρίδης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lastRenderedPageBreak/>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r w:rsidR="00C104A6" w:rsidRPr="00C77721">
        <w:rPr>
          <w:rFonts w:ascii="Verdana" w:hAnsi="Verdana" w:cstheme="minorHAnsi"/>
          <w:sz w:val="20"/>
          <w:szCs w:val="20"/>
          <w:lang w:val="en-US"/>
        </w:rPr>
        <w:t>minimis</w:t>
      </w:r>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lastRenderedPageBreak/>
        <w:t>ΠΑΡΑΡΤΗΜΑ Ι</w:t>
      </w:r>
      <w:r w:rsidRPr="00C77721">
        <w:rPr>
          <w:rFonts w:ascii="Verdana" w:hAnsi="Verdana" w:cstheme="minorHAnsi"/>
          <w:b/>
          <w:sz w:val="20"/>
          <w:szCs w:val="20"/>
          <w:u w:val="single"/>
          <w:lang w:val="en-US"/>
        </w:rPr>
        <w:t>V</w:t>
      </w:r>
    </w:p>
    <w:tbl>
      <w:tblPr>
        <w:tblW w:w="10490" w:type="dxa"/>
        <w:tblInd w:w="-1026" w:type="dxa"/>
        <w:tblLayout w:type="fixed"/>
        <w:tblLook w:val="04A0" w:firstRow="1" w:lastRow="0" w:firstColumn="1" w:lastColumn="0" w:noHBand="0" w:noVBand="1"/>
      </w:tblPr>
      <w:tblGrid>
        <w:gridCol w:w="850"/>
        <w:gridCol w:w="993"/>
        <w:gridCol w:w="2126"/>
        <w:gridCol w:w="1276"/>
        <w:gridCol w:w="2043"/>
        <w:gridCol w:w="3202"/>
      </w:tblGrid>
      <w:tr w:rsidR="00F06915" w14:paraId="29F23A0F" w14:textId="77777777" w:rsidTr="00754A4B">
        <w:trPr>
          <w:trHeight w:val="855"/>
        </w:trPr>
        <w:tc>
          <w:tcPr>
            <w:tcW w:w="85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E0BFFA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ΔΡΑΣΗ</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6D5B025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ΥΠΟ-ΔΡΑΣΗΣ</w:t>
            </w:r>
          </w:p>
        </w:tc>
        <w:tc>
          <w:tcPr>
            <w:tcW w:w="2126" w:type="dxa"/>
            <w:tcBorders>
              <w:top w:val="single" w:sz="8" w:space="0" w:color="auto"/>
              <w:left w:val="nil"/>
              <w:bottom w:val="single" w:sz="8" w:space="0" w:color="000000"/>
              <w:right w:val="single" w:sz="8" w:space="0" w:color="auto"/>
            </w:tcBorders>
            <w:shd w:val="clear" w:color="auto" w:fill="auto"/>
            <w:vAlign w:val="center"/>
            <w:hideMark/>
          </w:tcPr>
          <w:p w14:paraId="577542DB"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ΤΙΤΛΟΣ ΥΠΟΔΡΑΣΗΣ</w:t>
            </w:r>
          </w:p>
        </w:tc>
        <w:tc>
          <w:tcPr>
            <w:tcW w:w="1276" w:type="dxa"/>
            <w:tcBorders>
              <w:top w:val="single" w:sz="8" w:space="0" w:color="auto"/>
              <w:left w:val="nil"/>
              <w:bottom w:val="single" w:sz="8" w:space="0" w:color="000000"/>
              <w:right w:val="single" w:sz="8" w:space="0" w:color="auto"/>
            </w:tcBorders>
            <w:shd w:val="clear" w:color="auto" w:fill="auto"/>
            <w:vAlign w:val="center"/>
            <w:hideMark/>
          </w:tcPr>
          <w:p w14:paraId="4892AC97"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 xml:space="preserve">ΠΟΣΟΣΤΟ ΕΝΙΣΧΥΣΗΣ </w:t>
            </w:r>
          </w:p>
        </w:tc>
        <w:tc>
          <w:tcPr>
            <w:tcW w:w="2043" w:type="dxa"/>
            <w:tcBorders>
              <w:top w:val="single" w:sz="8" w:space="0" w:color="auto"/>
              <w:left w:val="nil"/>
              <w:bottom w:val="single" w:sz="8" w:space="0" w:color="000000"/>
              <w:right w:val="single" w:sz="8" w:space="0" w:color="auto"/>
            </w:tcBorders>
            <w:shd w:val="clear" w:color="auto" w:fill="auto"/>
            <w:vAlign w:val="center"/>
            <w:hideMark/>
          </w:tcPr>
          <w:p w14:paraId="3DF3FF50"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ΚΑΝΟΝΙΣΜΟΣ</w:t>
            </w:r>
          </w:p>
        </w:tc>
        <w:tc>
          <w:tcPr>
            <w:tcW w:w="3202" w:type="dxa"/>
            <w:tcBorders>
              <w:top w:val="single" w:sz="8" w:space="0" w:color="auto"/>
              <w:left w:val="nil"/>
              <w:bottom w:val="single" w:sz="4" w:space="0" w:color="auto"/>
              <w:right w:val="single" w:sz="8" w:space="0" w:color="auto"/>
            </w:tcBorders>
            <w:shd w:val="clear" w:color="auto" w:fill="auto"/>
            <w:vAlign w:val="center"/>
            <w:hideMark/>
          </w:tcPr>
          <w:p w14:paraId="54966D76"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ΕΙΔΙΚΟΙ ΟΡΟΙ</w:t>
            </w:r>
          </w:p>
        </w:tc>
      </w:tr>
      <w:tr w:rsidR="00F06915" w14:paraId="259A5444" w14:textId="77777777" w:rsidTr="00754A4B">
        <w:trPr>
          <w:trHeight w:val="697"/>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CAA246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 Μεταφορά γνώσεων &amp; ενημέρωσης</w:t>
            </w: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3643137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19.2.1.1</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64E1E0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στο γεωργικό και το δασικό τομέα</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DE3116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4B1F062A" w14:textId="77777777" w:rsidR="00F06915" w:rsidRDefault="00F06915">
            <w:pPr>
              <w:jc w:val="center"/>
              <w:rPr>
                <w:rFonts w:ascii="Verdana" w:hAnsi="Verdana" w:cs="Calibri"/>
                <w:color w:val="FF0000"/>
                <w:sz w:val="16"/>
                <w:szCs w:val="16"/>
              </w:rPr>
            </w:pPr>
            <w:r>
              <w:rPr>
                <w:rFonts w:ascii="Verdana" w:hAnsi="Verdana" w:cs="Calibri"/>
                <w:color w:val="FF0000"/>
                <w:sz w:val="16"/>
                <w:szCs w:val="16"/>
              </w:rPr>
              <w:t>Καν. (ΕΕ) 1407/2013 (δασικός τομέας), Καν. (ΕΕ) 1305/3013, Άρθρο 14 (γεωργικός τομέας)</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5520"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49E02A21" w14:textId="77777777" w:rsidTr="00754A4B">
        <w:trPr>
          <w:trHeight w:val="1117"/>
        </w:trPr>
        <w:tc>
          <w:tcPr>
            <w:tcW w:w="850" w:type="dxa"/>
            <w:vMerge/>
            <w:tcBorders>
              <w:top w:val="nil"/>
              <w:left w:val="single" w:sz="8" w:space="0" w:color="auto"/>
              <w:bottom w:val="single" w:sz="8" w:space="0" w:color="000000"/>
              <w:right w:val="single" w:sz="8" w:space="0" w:color="auto"/>
            </w:tcBorders>
            <w:vAlign w:val="center"/>
            <w:hideMark/>
          </w:tcPr>
          <w:p w14:paraId="2C9F6B8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AEDE6F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3C1D33E"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0DD1B8C9"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41AAA088"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D4D02"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2F18A1B" w14:textId="77777777" w:rsidTr="00754A4B">
        <w:trPr>
          <w:trHeight w:val="694"/>
        </w:trPr>
        <w:tc>
          <w:tcPr>
            <w:tcW w:w="850" w:type="dxa"/>
            <w:vMerge/>
            <w:tcBorders>
              <w:top w:val="nil"/>
              <w:left w:val="single" w:sz="8" w:space="0" w:color="auto"/>
              <w:bottom w:val="single" w:sz="8" w:space="0" w:color="000000"/>
              <w:right w:val="single" w:sz="8" w:space="0" w:color="auto"/>
            </w:tcBorders>
            <w:vAlign w:val="center"/>
            <w:hideMark/>
          </w:tcPr>
          <w:p w14:paraId="37BD1D1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D12B54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19.2.1.2</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1C24E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σε ΜΜΕ αγροτικών περιοχών</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6380A2F"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7EEB63EC" w14:textId="77777777" w:rsidR="00F06915" w:rsidRDefault="00F06915">
            <w:pPr>
              <w:jc w:val="center"/>
              <w:rPr>
                <w:rFonts w:ascii="Verdana" w:hAnsi="Verdana" w:cs="Calibri"/>
                <w:color w:val="FF0000"/>
                <w:sz w:val="16"/>
                <w:szCs w:val="16"/>
              </w:rPr>
            </w:pPr>
            <w:r>
              <w:rPr>
                <w:rFonts w:ascii="Verdana" w:hAnsi="Verdana" w:cs="Calibri"/>
                <w:color w:val="FF0000"/>
                <w:sz w:val="16"/>
                <w:szCs w:val="16"/>
              </w:rPr>
              <w:t>Κανονισμός (ΕΕ</w:t>
            </w:r>
            <w:r>
              <w:rPr>
                <w:rFonts w:ascii="Verdana" w:hAnsi="Verdana" w:cs="Calibri"/>
                <w:color w:val="000000"/>
                <w:sz w:val="16"/>
                <w:szCs w:val="16"/>
              </w:rPr>
              <w:t xml:space="preserve">) </w:t>
            </w:r>
            <w:r>
              <w:rPr>
                <w:rFonts w:ascii="Verdana" w:hAnsi="Verdana" w:cs="Calibri"/>
                <w:color w:val="FF0000"/>
                <w:sz w:val="16"/>
                <w:szCs w:val="16"/>
              </w:rPr>
              <w:t>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54414"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0FBE36EB" w14:textId="77777777" w:rsidTr="00754A4B">
        <w:trPr>
          <w:trHeight w:val="1115"/>
        </w:trPr>
        <w:tc>
          <w:tcPr>
            <w:tcW w:w="850" w:type="dxa"/>
            <w:vMerge/>
            <w:tcBorders>
              <w:top w:val="nil"/>
              <w:left w:val="single" w:sz="8" w:space="0" w:color="auto"/>
              <w:bottom w:val="single" w:sz="8" w:space="0" w:color="000000"/>
              <w:right w:val="single" w:sz="8" w:space="0" w:color="auto"/>
            </w:tcBorders>
            <w:vAlign w:val="center"/>
            <w:hideMark/>
          </w:tcPr>
          <w:p w14:paraId="374C1BA8"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DCDBA9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587C4CC2"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33998BEA"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249956E4"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73C3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3B9C75A" w14:textId="77777777" w:rsidTr="00754A4B">
        <w:trPr>
          <w:trHeight w:val="1545"/>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F4D91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2DD52F8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19.2.2.2</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668C2F9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B09C75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3131EDA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right w:val="single" w:sz="4" w:space="0" w:color="auto"/>
            </w:tcBorders>
            <w:shd w:val="clear" w:color="auto" w:fill="auto"/>
            <w:vAlign w:val="center"/>
            <w:hideMark/>
          </w:tcPr>
          <w:p w14:paraId="6377530B" w14:textId="60E2E942" w:rsidR="00F06915" w:rsidRDefault="00F06915" w:rsidP="00754A4B">
            <w:pPr>
              <w:rPr>
                <w:rFonts w:ascii="Verdana" w:hAnsi="Verdana" w:cs="Calibri"/>
                <w:color w:val="FF0000"/>
                <w:sz w:val="16"/>
                <w:szCs w:val="16"/>
              </w:rPr>
            </w:pPr>
            <w:r>
              <w:rPr>
                <w:rFonts w:ascii="Verdana" w:hAnsi="Verdana" w:cs="Calibri"/>
                <w:color w:val="000000"/>
                <w:sz w:val="16"/>
                <w:szCs w:val="16"/>
              </w:rPr>
              <w:t>Η υποδράση αφορά ιδρύσεις ή και εκσυγχρονισμούς ή και επεκτάσεις ή και μετεγκαταστάσεις μονάδων μετά εκσυγχρονισμού.</w:t>
            </w:r>
          </w:p>
        </w:tc>
      </w:tr>
      <w:tr w:rsidR="00F06915" w14:paraId="41A7A0D4" w14:textId="77777777" w:rsidTr="00754A4B">
        <w:trPr>
          <w:trHeight w:val="1187"/>
        </w:trPr>
        <w:tc>
          <w:tcPr>
            <w:tcW w:w="850" w:type="dxa"/>
            <w:vMerge/>
            <w:tcBorders>
              <w:top w:val="nil"/>
              <w:left w:val="single" w:sz="8" w:space="0" w:color="auto"/>
              <w:bottom w:val="single" w:sz="8" w:space="0" w:color="000000"/>
              <w:right w:val="single" w:sz="8" w:space="0" w:color="auto"/>
            </w:tcBorders>
            <w:vAlign w:val="center"/>
            <w:hideMark/>
          </w:tcPr>
          <w:p w14:paraId="37EB6614"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5CB7CF4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19.2.2.3</w:t>
            </w:r>
          </w:p>
        </w:tc>
        <w:tc>
          <w:tcPr>
            <w:tcW w:w="2126" w:type="dxa"/>
            <w:tcBorders>
              <w:top w:val="nil"/>
              <w:left w:val="nil"/>
              <w:bottom w:val="single" w:sz="8" w:space="0" w:color="auto"/>
              <w:right w:val="single" w:sz="8" w:space="0" w:color="auto"/>
            </w:tcBorders>
            <w:shd w:val="clear" w:color="auto" w:fill="auto"/>
            <w:vAlign w:val="center"/>
            <w:hideMark/>
          </w:tcPr>
          <w:p w14:paraId="1297B19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στον τομέα του τουρισμού με σκοπό την εξυπηρέτηση ειδικών στόχων της τοπικής στρατηγικής.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608566D7" w14:textId="77777777" w:rsidR="00F06915" w:rsidRDefault="00F06915" w:rsidP="00F06915">
            <w:pPr>
              <w:jc w:val="center"/>
              <w:rPr>
                <w:rFonts w:ascii="Verdana" w:hAnsi="Verdana" w:cs="Calibri"/>
                <w:color w:val="000000"/>
                <w:sz w:val="16"/>
                <w:szCs w:val="16"/>
              </w:rPr>
            </w:pPr>
            <w:r>
              <w:rPr>
                <w:rFonts w:ascii="Verdana" w:hAnsi="Verdana" w:cs="Calibri"/>
                <w:color w:val="000000"/>
                <w:sz w:val="16"/>
                <w:szCs w:val="16"/>
              </w:rPr>
              <w:t>έως 65%</w:t>
            </w:r>
          </w:p>
        </w:tc>
        <w:tc>
          <w:tcPr>
            <w:tcW w:w="2043" w:type="dxa"/>
            <w:tcBorders>
              <w:top w:val="nil"/>
              <w:left w:val="nil"/>
              <w:bottom w:val="single" w:sz="8" w:space="0" w:color="auto"/>
              <w:right w:val="single" w:sz="4" w:space="0" w:color="auto"/>
            </w:tcBorders>
            <w:shd w:val="clear" w:color="auto" w:fill="auto"/>
            <w:vAlign w:val="center"/>
            <w:hideMark/>
          </w:tcPr>
          <w:p w14:paraId="78C736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85167"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56D4ED0" w14:textId="77777777" w:rsidTr="00754A4B">
        <w:trPr>
          <w:trHeight w:val="1672"/>
        </w:trPr>
        <w:tc>
          <w:tcPr>
            <w:tcW w:w="850" w:type="dxa"/>
            <w:vMerge/>
            <w:tcBorders>
              <w:top w:val="nil"/>
              <w:left w:val="single" w:sz="8" w:space="0" w:color="auto"/>
              <w:bottom w:val="single" w:sz="8" w:space="0" w:color="000000"/>
              <w:right w:val="single" w:sz="8" w:space="0" w:color="auto"/>
            </w:tcBorders>
            <w:vAlign w:val="center"/>
            <w:hideMark/>
          </w:tcPr>
          <w:p w14:paraId="56D1B8A2"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6A513F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5FBC0E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66240D0C" w14:textId="77777777" w:rsidR="00F06915" w:rsidRDefault="00F06915">
            <w:pPr>
              <w:rPr>
                <w:rFonts w:ascii="Verdana" w:hAnsi="Verdana" w:cs="Calibri"/>
                <w:color w:val="000000"/>
                <w:sz w:val="16"/>
                <w:szCs w:val="16"/>
              </w:rPr>
            </w:pP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101568D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4C885"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υποδράσεις αφορούν μόνο εκσυγχρονισμό ή/και την επέκταση ή/και τη μετεγκατάσταση μονάδων μετά εκσυγχρονισμού.</w:t>
            </w:r>
          </w:p>
        </w:tc>
      </w:tr>
      <w:tr w:rsidR="00F06915" w14:paraId="47B0D637" w14:textId="77777777" w:rsidTr="00754A4B">
        <w:trPr>
          <w:trHeight w:val="137"/>
        </w:trPr>
        <w:tc>
          <w:tcPr>
            <w:tcW w:w="850" w:type="dxa"/>
            <w:vMerge/>
            <w:tcBorders>
              <w:top w:val="nil"/>
              <w:left w:val="single" w:sz="8" w:space="0" w:color="auto"/>
              <w:bottom w:val="single" w:sz="8" w:space="0" w:color="000000"/>
              <w:right w:val="single" w:sz="8" w:space="0" w:color="auto"/>
            </w:tcBorders>
            <w:vAlign w:val="center"/>
            <w:hideMark/>
          </w:tcPr>
          <w:p w14:paraId="018D70EB"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2A31AB8F"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E8F4BAA"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6A569F5F"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182CE32B" w14:textId="77777777" w:rsidR="00F06915" w:rsidRDefault="00F06915">
            <w:pPr>
              <w:rPr>
                <w:rFonts w:ascii="Verdana" w:hAnsi="Verdana" w:cs="Calibri"/>
                <w:color w:val="00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3B26E"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AE987E6" w14:textId="77777777" w:rsidTr="00754A4B">
        <w:trPr>
          <w:trHeight w:val="2128"/>
        </w:trPr>
        <w:tc>
          <w:tcPr>
            <w:tcW w:w="850" w:type="dxa"/>
            <w:vMerge/>
            <w:tcBorders>
              <w:top w:val="nil"/>
              <w:left w:val="single" w:sz="8" w:space="0" w:color="auto"/>
              <w:bottom w:val="single" w:sz="8" w:space="0" w:color="000000"/>
              <w:right w:val="single" w:sz="8" w:space="0" w:color="auto"/>
            </w:tcBorders>
            <w:vAlign w:val="center"/>
            <w:hideMark/>
          </w:tcPr>
          <w:p w14:paraId="6616D4EB"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14F32C8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19.2.2.5</w:t>
            </w:r>
          </w:p>
        </w:tc>
        <w:tc>
          <w:tcPr>
            <w:tcW w:w="2126" w:type="dxa"/>
            <w:tcBorders>
              <w:top w:val="nil"/>
              <w:left w:val="nil"/>
              <w:bottom w:val="single" w:sz="8" w:space="0" w:color="auto"/>
              <w:right w:val="single" w:sz="8" w:space="0" w:color="auto"/>
            </w:tcBorders>
            <w:shd w:val="clear" w:color="auto" w:fill="auto"/>
            <w:vAlign w:val="center"/>
            <w:hideMark/>
          </w:tcPr>
          <w:p w14:paraId="4FFF821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182DB645" w14:textId="77777777" w:rsidR="00F06915" w:rsidRDefault="00F06915">
            <w:pPr>
              <w:rPr>
                <w:rFonts w:ascii="Verdana" w:hAnsi="Verdana" w:cs="Calibri"/>
                <w:color w:val="000000"/>
                <w:sz w:val="16"/>
                <w:szCs w:val="16"/>
              </w:rPr>
            </w:pPr>
          </w:p>
        </w:tc>
        <w:tc>
          <w:tcPr>
            <w:tcW w:w="2043" w:type="dxa"/>
            <w:tcBorders>
              <w:top w:val="nil"/>
              <w:left w:val="nil"/>
              <w:bottom w:val="single" w:sz="8" w:space="0" w:color="auto"/>
              <w:right w:val="single" w:sz="4" w:space="0" w:color="auto"/>
            </w:tcBorders>
            <w:shd w:val="clear" w:color="auto" w:fill="auto"/>
            <w:vAlign w:val="center"/>
            <w:hideMark/>
          </w:tcPr>
          <w:p w14:paraId="2CB644B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FD8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6F2FFB4D" w14:textId="77777777" w:rsidTr="00754A4B">
        <w:trPr>
          <w:trHeight w:val="1335"/>
        </w:trPr>
        <w:tc>
          <w:tcPr>
            <w:tcW w:w="850" w:type="dxa"/>
            <w:vMerge/>
            <w:tcBorders>
              <w:top w:val="nil"/>
              <w:left w:val="single" w:sz="8" w:space="0" w:color="auto"/>
              <w:bottom w:val="single" w:sz="8" w:space="0" w:color="000000"/>
              <w:right w:val="single" w:sz="8" w:space="0" w:color="auto"/>
            </w:tcBorders>
            <w:vAlign w:val="center"/>
            <w:hideMark/>
          </w:tcPr>
          <w:p w14:paraId="4C0F6A8E"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A7E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19.2.2.6</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771D683"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οικοτεχνίας και πολυλειτουργικών αγροκτημάτων με σκοπό την εξυπηρέτηση ειδικών </w:t>
            </w:r>
            <w:r>
              <w:rPr>
                <w:rFonts w:ascii="Verdana" w:hAnsi="Verdana" w:cs="Calibri"/>
                <w:color w:val="000000"/>
                <w:sz w:val="16"/>
                <w:szCs w:val="16"/>
              </w:rPr>
              <w:lastRenderedPageBreak/>
              <w:t>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53F27E6" w14:textId="77777777" w:rsidR="00F06915" w:rsidRDefault="00F06915">
            <w:pPr>
              <w:rPr>
                <w:rFonts w:ascii="Verdana" w:hAnsi="Verdana" w:cs="Calibri"/>
                <w:color w:val="000000"/>
                <w:sz w:val="16"/>
                <w:szCs w:val="16"/>
              </w:rPr>
            </w:pPr>
            <w:r>
              <w:rPr>
                <w:rFonts w:ascii="Verdana" w:hAnsi="Verdana" w:cs="Calibri"/>
                <w:color w:val="000000"/>
                <w:sz w:val="16"/>
                <w:szCs w:val="16"/>
              </w:rPr>
              <w:lastRenderedPageBreak/>
              <w:t xml:space="preserve">Άρθρο 17 του καν. 1305/13 ποσοστό ενίσχυσης </w:t>
            </w:r>
            <w:r w:rsidRPr="00754A4B">
              <w:rPr>
                <w:rFonts w:ascii="Verdana" w:hAnsi="Verdana" w:cs="Calibri"/>
                <w:b/>
                <w:color w:val="000000"/>
                <w:sz w:val="16"/>
                <w:szCs w:val="16"/>
              </w:rPr>
              <w:t>50%</w:t>
            </w:r>
            <w:r>
              <w:rPr>
                <w:rFonts w:ascii="Verdana" w:hAnsi="Verdana" w:cs="Calibri"/>
                <w:color w:val="000000"/>
                <w:sz w:val="16"/>
                <w:szCs w:val="16"/>
              </w:rPr>
              <w:t xml:space="preserve">             </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02EA60E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40FD3"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Αφορά δικαιούχους / προϊόντα που ορίζονται στο Ν. 4235/2014 και ΚΥΑ 543/34450/24.3.2017</w:t>
            </w:r>
          </w:p>
        </w:tc>
      </w:tr>
      <w:tr w:rsidR="00F06915" w14:paraId="218A4DE4" w14:textId="77777777" w:rsidTr="00754A4B">
        <w:trPr>
          <w:trHeight w:val="1397"/>
        </w:trPr>
        <w:tc>
          <w:tcPr>
            <w:tcW w:w="850" w:type="dxa"/>
            <w:vMerge/>
            <w:tcBorders>
              <w:top w:val="nil"/>
              <w:left w:val="single" w:sz="8" w:space="0" w:color="auto"/>
              <w:bottom w:val="single" w:sz="8" w:space="0" w:color="000000"/>
              <w:right w:val="single" w:sz="8" w:space="0" w:color="auto"/>
            </w:tcBorders>
            <w:vAlign w:val="center"/>
            <w:hideMark/>
          </w:tcPr>
          <w:p w14:paraId="4930627A"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3ED03D"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64C79FE8"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94E68C3" w14:textId="77777777" w:rsidR="00F06915" w:rsidRDefault="00F06915">
            <w:pPr>
              <w:rPr>
                <w:rFonts w:ascii="Verdana" w:hAnsi="Verdana" w:cs="Calibri"/>
                <w:color w:val="000000"/>
                <w:sz w:val="16"/>
                <w:szCs w:val="16"/>
              </w:rPr>
            </w:pPr>
            <w:r>
              <w:rPr>
                <w:rFonts w:ascii="Verdana" w:hAnsi="Verdana" w:cs="Calibri"/>
                <w:color w:val="000000"/>
                <w:sz w:val="16"/>
                <w:szCs w:val="16"/>
              </w:rPr>
              <w:t xml:space="preserve">Άρθρο 19 του καν. 1305/13 ποσοστό ενίσχυσης </w:t>
            </w:r>
            <w:r w:rsidRPr="00754A4B">
              <w:rPr>
                <w:rFonts w:ascii="Verdana" w:hAnsi="Verdana" w:cs="Calibri"/>
                <w:b/>
                <w:color w:val="000000"/>
                <w:sz w:val="16"/>
                <w:szCs w:val="16"/>
              </w:rPr>
              <w:t>65%</w:t>
            </w:r>
          </w:p>
        </w:tc>
        <w:tc>
          <w:tcPr>
            <w:tcW w:w="2043" w:type="dxa"/>
            <w:vMerge/>
            <w:tcBorders>
              <w:top w:val="nil"/>
              <w:left w:val="single" w:sz="8" w:space="0" w:color="auto"/>
              <w:bottom w:val="single" w:sz="8" w:space="0" w:color="000000"/>
              <w:right w:val="single" w:sz="4" w:space="0" w:color="auto"/>
            </w:tcBorders>
            <w:vAlign w:val="center"/>
            <w:hideMark/>
          </w:tcPr>
          <w:p w14:paraId="3015E6BE" w14:textId="77777777" w:rsidR="00F06915" w:rsidRDefault="00F06915">
            <w:pPr>
              <w:rPr>
                <w:rFonts w:ascii="Verdana" w:hAnsi="Verdana" w:cs="Calibri"/>
                <w:color w:val="00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E20F"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Το Άρθρο 19 του καν. 1305/13 αφορά μόνο Πολύ μικρές έως Μικρές επιχειρήσεις</w:t>
            </w:r>
          </w:p>
        </w:tc>
      </w:tr>
      <w:tr w:rsidR="00F06915" w14:paraId="55D7042D" w14:textId="77777777" w:rsidTr="00754A4B">
        <w:trPr>
          <w:trHeight w:val="1880"/>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1DAE1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 Οριζόντια ενίσχυση στην ανάπτυξη /  βελτίωση της επιχειρηματικότητας και ανταγωνιστικότητας της περιοχή εφαρμογής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550F4B2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19.2.3.1</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46C344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4C159C1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7412904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1305/2013, παράρτημα ΙΙ</w:t>
            </w:r>
          </w:p>
        </w:tc>
        <w:tc>
          <w:tcPr>
            <w:tcW w:w="3202" w:type="dxa"/>
            <w:tcBorders>
              <w:top w:val="single" w:sz="4" w:space="0" w:color="auto"/>
              <w:left w:val="single" w:sz="4" w:space="0" w:color="auto"/>
              <w:right w:val="single" w:sz="4" w:space="0" w:color="auto"/>
            </w:tcBorders>
            <w:shd w:val="clear" w:color="auto" w:fill="auto"/>
            <w:vAlign w:val="center"/>
            <w:hideMark/>
          </w:tcPr>
          <w:p w14:paraId="67B6A66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w:t>
            </w:r>
          </w:p>
          <w:p w14:paraId="0736A14F" w14:textId="651B0F9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μεγάλες επιχειρήσεις</w:t>
            </w:r>
          </w:p>
        </w:tc>
      </w:tr>
      <w:tr w:rsidR="00F06915" w14:paraId="147660A9" w14:textId="77777777" w:rsidTr="00754A4B">
        <w:trPr>
          <w:trHeight w:val="821"/>
        </w:trPr>
        <w:tc>
          <w:tcPr>
            <w:tcW w:w="850" w:type="dxa"/>
            <w:vMerge/>
            <w:tcBorders>
              <w:top w:val="nil"/>
              <w:left w:val="single" w:sz="8" w:space="0" w:color="auto"/>
              <w:bottom w:val="single" w:sz="8" w:space="0" w:color="000000"/>
              <w:right w:val="single" w:sz="8" w:space="0" w:color="auto"/>
            </w:tcBorders>
            <w:vAlign w:val="center"/>
            <w:hideMark/>
          </w:tcPr>
          <w:p w14:paraId="58914AFE"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F6C9D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19.2.3.3</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EAB0A1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52AECFE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176B7A1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604F"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2123FD04" w14:textId="77777777" w:rsidTr="00754A4B">
        <w:trPr>
          <w:trHeight w:val="830"/>
        </w:trPr>
        <w:tc>
          <w:tcPr>
            <w:tcW w:w="850" w:type="dxa"/>
            <w:vMerge/>
            <w:tcBorders>
              <w:top w:val="nil"/>
              <w:left w:val="single" w:sz="8" w:space="0" w:color="auto"/>
              <w:bottom w:val="single" w:sz="8" w:space="0" w:color="000000"/>
              <w:right w:val="single" w:sz="8" w:space="0" w:color="auto"/>
            </w:tcBorders>
            <w:vAlign w:val="center"/>
            <w:hideMark/>
          </w:tcPr>
          <w:p w14:paraId="1C670272"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36D59B1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3BABACBA"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440E4093"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71D01B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A30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7624DD08" w14:textId="77777777" w:rsidTr="00754A4B">
        <w:trPr>
          <w:trHeight w:val="1290"/>
        </w:trPr>
        <w:tc>
          <w:tcPr>
            <w:tcW w:w="850" w:type="dxa"/>
            <w:vMerge/>
            <w:tcBorders>
              <w:top w:val="nil"/>
              <w:left w:val="single" w:sz="8" w:space="0" w:color="auto"/>
              <w:bottom w:val="single" w:sz="8" w:space="0" w:color="000000"/>
              <w:right w:val="single" w:sz="8" w:space="0" w:color="auto"/>
            </w:tcBorders>
            <w:vAlign w:val="center"/>
            <w:hideMark/>
          </w:tcPr>
          <w:p w14:paraId="7CAE4224"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C48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71D506F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στους τομείς της βιοτεχνίας, χειροτεχνίας, παραγωγής ειδών μετά την 1</w:t>
            </w:r>
            <w:r>
              <w:rPr>
                <w:rFonts w:ascii="Verdana" w:hAnsi="Verdana" w:cs="Calibri"/>
                <w:color w:val="000000"/>
                <w:sz w:val="16"/>
                <w:szCs w:val="16"/>
                <w:vertAlign w:val="superscript"/>
              </w:rPr>
              <w:t>η</w:t>
            </w:r>
            <w:r>
              <w:rPr>
                <w:rFonts w:ascii="Verdana" w:hAnsi="Verdana" w:cs="Calibri"/>
                <w:color w:val="000000"/>
                <w:sz w:val="16"/>
                <w:szCs w:val="16"/>
              </w:rPr>
              <w:t xml:space="preserve"> μεταποίηση, και του εμπορίου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147A2A2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2DB0A30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B944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w:t>
            </w:r>
            <w:bookmarkStart w:id="2" w:name="_GoBack"/>
            <w:bookmarkEnd w:id="2"/>
            <w:r>
              <w:rPr>
                <w:rFonts w:ascii="Verdana" w:hAnsi="Verdana" w:cs="Calibri"/>
                <w:color w:val="000000"/>
                <w:sz w:val="16"/>
                <w:szCs w:val="16"/>
              </w:rPr>
              <w:t>ς διανομή κερδών</w:t>
            </w:r>
          </w:p>
        </w:tc>
      </w:tr>
      <w:tr w:rsidR="00F06915" w14:paraId="65455AA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7F40695F"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5177040"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F3A2223"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043C7F3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1FE94D6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B3BE3"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Μικρές &amp; πολύ μικρές επιχειρήσεις</w:t>
            </w:r>
          </w:p>
        </w:tc>
      </w:tr>
      <w:tr w:rsidR="00F06915" w14:paraId="6160D31D" w14:textId="77777777" w:rsidTr="00754A4B">
        <w:trPr>
          <w:trHeight w:val="1306"/>
        </w:trPr>
        <w:tc>
          <w:tcPr>
            <w:tcW w:w="850" w:type="dxa"/>
            <w:vMerge/>
            <w:tcBorders>
              <w:top w:val="nil"/>
              <w:left w:val="single" w:sz="8" w:space="0" w:color="auto"/>
              <w:bottom w:val="single" w:sz="8" w:space="0" w:color="000000"/>
              <w:right w:val="single" w:sz="8" w:space="0" w:color="auto"/>
            </w:tcBorders>
            <w:vAlign w:val="center"/>
            <w:hideMark/>
          </w:tcPr>
          <w:p w14:paraId="30B323F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37875A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19.2.3.5</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67238"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6C988D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33685390"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A905B"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553106E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5A8FFA7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89906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874ECED"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8B1F41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3DEE3F2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A378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6651EC92" w14:textId="77777777" w:rsidTr="00754A4B">
        <w:trPr>
          <w:trHeight w:val="300"/>
        </w:trPr>
        <w:tc>
          <w:tcPr>
            <w:tcW w:w="7288" w:type="dxa"/>
            <w:gridSpan w:val="5"/>
            <w:tcBorders>
              <w:top w:val="nil"/>
              <w:left w:val="nil"/>
              <w:bottom w:val="nil"/>
              <w:right w:val="nil"/>
            </w:tcBorders>
            <w:shd w:val="clear" w:color="auto" w:fill="auto"/>
            <w:noWrap/>
            <w:vAlign w:val="center"/>
            <w:hideMark/>
          </w:tcPr>
          <w:p w14:paraId="54E2325E" w14:textId="77777777" w:rsidR="00F06915" w:rsidRDefault="00F06915">
            <w:pPr>
              <w:rPr>
                <w:rFonts w:ascii="Verdana" w:hAnsi="Verdana" w:cs="Calibri"/>
                <w:b/>
                <w:bCs/>
                <w:color w:val="000000"/>
                <w:sz w:val="16"/>
                <w:szCs w:val="16"/>
              </w:rPr>
            </w:pPr>
            <w:r>
              <w:rPr>
                <w:rFonts w:ascii="Verdana" w:hAnsi="Verdana" w:cs="Calibri"/>
                <w:b/>
                <w:bCs/>
                <w:color w:val="000000"/>
                <w:sz w:val="16"/>
                <w:szCs w:val="16"/>
              </w:rPr>
              <w:t>Τα ποσοστά ενίσχυσης βάσει του Καν. (ΕΕ) 651/2014 (άρθρο 14) ισχύουν έως τις 31/12/2020</w:t>
            </w:r>
          </w:p>
        </w:tc>
        <w:tc>
          <w:tcPr>
            <w:tcW w:w="3202" w:type="dxa"/>
            <w:tcBorders>
              <w:top w:val="single" w:sz="4" w:space="0" w:color="auto"/>
              <w:left w:val="nil"/>
              <w:bottom w:val="nil"/>
              <w:right w:val="nil"/>
            </w:tcBorders>
            <w:shd w:val="clear" w:color="auto" w:fill="auto"/>
            <w:noWrap/>
            <w:vAlign w:val="bottom"/>
            <w:hideMark/>
          </w:tcPr>
          <w:p w14:paraId="04B31C50" w14:textId="77777777" w:rsidR="00F06915" w:rsidRDefault="00F06915">
            <w:pPr>
              <w:rPr>
                <w:rFonts w:ascii="Verdana" w:hAnsi="Verdana" w:cs="Calibri"/>
                <w:b/>
                <w:bCs/>
                <w:color w:val="00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A4AD5" w14:textId="77777777" w:rsidR="002636FC" w:rsidRDefault="002636FC">
      <w:r>
        <w:separator/>
      </w:r>
    </w:p>
  </w:endnote>
  <w:endnote w:type="continuationSeparator" w:id="0">
    <w:p w14:paraId="39B9053C" w14:textId="77777777" w:rsidR="002636FC" w:rsidRDefault="0026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F06915" w:rsidRDefault="00F06915"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F06915" w:rsidRDefault="00F0691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F06915" w:rsidRPr="00963DEC" w:rsidRDefault="00F06915"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754A4B" w:rsidRPr="00754A4B">
      <w:rPr>
        <w:noProof/>
      </w:rPr>
      <w:t>51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44590" w14:textId="77777777" w:rsidR="002636FC" w:rsidRDefault="002636FC">
      <w:r>
        <w:separator/>
      </w:r>
    </w:p>
  </w:footnote>
  <w:footnote w:type="continuationSeparator" w:id="0">
    <w:p w14:paraId="2708388E" w14:textId="77777777" w:rsidR="002636FC" w:rsidRDefault="00263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F06915" w:rsidRDefault="00F069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F06915" w:rsidRDefault="00F0691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F06915" w:rsidRDefault="00F06915">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F71"/>
    <w:rsid w:val="0001561A"/>
    <w:rsid w:val="000163CC"/>
    <w:rsid w:val="00021374"/>
    <w:rsid w:val="000225F6"/>
    <w:rsid w:val="00023926"/>
    <w:rsid w:val="00023FFE"/>
    <w:rsid w:val="000242EC"/>
    <w:rsid w:val="00024321"/>
    <w:rsid w:val="0002584E"/>
    <w:rsid w:val="000264C3"/>
    <w:rsid w:val="00027808"/>
    <w:rsid w:val="0002799B"/>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36FC"/>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B0F"/>
    <w:rsid w:val="002B11CE"/>
    <w:rsid w:val="002B3A0E"/>
    <w:rsid w:val="002B564E"/>
    <w:rsid w:val="002B58C1"/>
    <w:rsid w:val="002B6F0C"/>
    <w:rsid w:val="002C07BB"/>
    <w:rsid w:val="002C0ADA"/>
    <w:rsid w:val="002C2288"/>
    <w:rsid w:val="002C2383"/>
    <w:rsid w:val="002C3092"/>
    <w:rsid w:val="002C3287"/>
    <w:rsid w:val="002C328C"/>
    <w:rsid w:val="002C346F"/>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5598"/>
    <w:rsid w:val="005C125C"/>
    <w:rsid w:val="005C13FB"/>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77F6"/>
    <w:rsid w:val="00711481"/>
    <w:rsid w:val="00712A26"/>
    <w:rsid w:val="00713C8E"/>
    <w:rsid w:val="00714A8E"/>
    <w:rsid w:val="00717B89"/>
    <w:rsid w:val="007203FD"/>
    <w:rsid w:val="00720A42"/>
    <w:rsid w:val="00721E28"/>
    <w:rsid w:val="00722051"/>
    <w:rsid w:val="007236CB"/>
    <w:rsid w:val="00723863"/>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4A4B"/>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71E9"/>
    <w:rsid w:val="00E37B35"/>
    <w:rsid w:val="00E4022C"/>
    <w:rsid w:val="00E413F0"/>
    <w:rsid w:val="00E4394D"/>
    <w:rsid w:val="00E43DFE"/>
    <w:rsid w:val="00E43EF2"/>
    <w:rsid w:val="00E44FCE"/>
    <w:rsid w:val="00E47746"/>
    <w:rsid w:val="00E47A7E"/>
    <w:rsid w:val="00E47DB7"/>
    <w:rsid w:val="00E53187"/>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6915"/>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72E"/>
    <w:rsid w:val="00F34163"/>
    <w:rsid w:val="00F3496E"/>
    <w:rsid w:val="00F35B57"/>
    <w:rsid w:val="00F36411"/>
    <w:rsid w:val="00F376A0"/>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F0B0B"/>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811626627">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mailto:support@mou.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www.eeab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pendysei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F0FB7-58FC-42FA-AA4E-F5B99F34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5844</TotalTime>
  <Pages>52</Pages>
  <Words>22236</Words>
  <Characters>120075</Characters>
  <Application>Microsoft Office Word</Application>
  <DocSecurity>0</DocSecurity>
  <Lines>1000</Lines>
  <Paragraphs>284</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142027</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User2</cp:lastModifiedBy>
  <cp:revision>429</cp:revision>
  <cp:lastPrinted>2019-03-12T09:07:00Z</cp:lastPrinted>
  <dcterms:created xsi:type="dcterms:W3CDTF">2018-06-11T09:04:00Z</dcterms:created>
  <dcterms:modified xsi:type="dcterms:W3CDTF">2019-05-11T14:35:00Z</dcterms:modified>
</cp:coreProperties>
</file>